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2A564" w14:textId="1CC3FCB9" w:rsidR="00960B44" w:rsidRPr="003A32C1" w:rsidRDefault="00960B44" w:rsidP="00960B44">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rPr>
      </w:pPr>
      <w:r w:rsidRPr="003A32C1">
        <w:rPr>
          <w:rFonts w:ascii="Times New Roman" w:eastAsia="SimSun" w:hAnsi="Times New Roman" w:cs="Times New Roman"/>
          <w:b/>
          <w:noProof/>
          <w:sz w:val="24"/>
          <w:szCs w:val="20"/>
          <w:lang w:eastAsia="zh-CN"/>
        </w:rPr>
        <w:t>3GPP TSG-RA</w:t>
      </w:r>
      <w:r w:rsidR="00E73984" w:rsidRPr="003A32C1">
        <w:rPr>
          <w:rFonts w:ascii="Times New Roman" w:eastAsia="SimSun" w:hAnsi="Times New Roman" w:cs="Times New Roman"/>
          <w:b/>
          <w:noProof/>
          <w:sz w:val="24"/>
          <w:szCs w:val="20"/>
          <w:lang w:eastAsia="zh-CN"/>
        </w:rPr>
        <w:t>N</w:t>
      </w:r>
      <w:r w:rsidR="00EC7CC3" w:rsidRPr="003A32C1">
        <w:rPr>
          <w:rFonts w:ascii="Times New Roman" w:eastAsia="SimSun" w:hAnsi="Times New Roman" w:cs="Times New Roman"/>
          <w:b/>
          <w:noProof/>
          <w:sz w:val="24"/>
          <w:szCs w:val="20"/>
          <w:lang w:eastAsia="zh-CN"/>
        </w:rPr>
        <w:t>2</w:t>
      </w:r>
      <w:r w:rsidR="00E73984" w:rsidRPr="003A32C1">
        <w:rPr>
          <w:rFonts w:ascii="Times New Roman" w:eastAsia="SimSun" w:hAnsi="Times New Roman" w:cs="Times New Roman"/>
          <w:b/>
          <w:noProof/>
          <w:sz w:val="24"/>
          <w:szCs w:val="20"/>
          <w:lang w:eastAsia="zh-CN"/>
        </w:rPr>
        <w:t>#1</w:t>
      </w:r>
      <w:r w:rsidR="003A32C1" w:rsidRPr="003A32C1">
        <w:rPr>
          <w:rFonts w:ascii="Times New Roman" w:eastAsia="SimSun" w:hAnsi="Times New Roman" w:cs="Times New Roman"/>
          <w:b/>
          <w:noProof/>
          <w:sz w:val="24"/>
          <w:szCs w:val="20"/>
          <w:lang w:eastAsia="zh-CN"/>
        </w:rPr>
        <w:t>20</w:t>
      </w:r>
      <w:r w:rsidRPr="003A32C1">
        <w:rPr>
          <w:rFonts w:ascii="Times New Roman" w:eastAsia="SimSun" w:hAnsi="Times New Roman" w:cs="Times New Roman"/>
          <w:b/>
          <w:noProof/>
          <w:sz w:val="24"/>
          <w:szCs w:val="20"/>
          <w:lang w:eastAsia="zh-CN"/>
        </w:rPr>
        <w:tab/>
      </w:r>
      <w:r w:rsidR="00A948BC" w:rsidRPr="003A32C1">
        <w:rPr>
          <w:rFonts w:ascii="Times New Roman" w:eastAsia="SimSun" w:hAnsi="Times New Roman" w:cs="Times New Roman"/>
          <w:b/>
          <w:noProof/>
          <w:sz w:val="24"/>
          <w:szCs w:val="20"/>
          <w:lang w:eastAsia="zh-CN"/>
        </w:rPr>
        <w:t>R2-</w:t>
      </w:r>
      <w:r w:rsidR="00BA2636" w:rsidRPr="00BA2636">
        <w:rPr>
          <w:rFonts w:ascii="Times New Roman" w:eastAsia="SimSun" w:hAnsi="Times New Roman" w:cs="Times New Roman"/>
          <w:b/>
          <w:noProof/>
          <w:sz w:val="24"/>
          <w:szCs w:val="20"/>
          <w:lang w:eastAsia="zh-CN"/>
        </w:rPr>
        <w:t>2211467</w:t>
      </w:r>
    </w:p>
    <w:p w14:paraId="6D7FEBCE" w14:textId="17299FE1" w:rsidR="00960B44" w:rsidRPr="007022BC" w:rsidRDefault="003A32C1" w:rsidP="00960B44">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Pr>
          <w:rFonts w:ascii="Times New Roman" w:eastAsia="SimSun" w:hAnsi="Times New Roman" w:cs="Times New Roman"/>
          <w:b/>
          <w:noProof/>
          <w:sz w:val="24"/>
          <w:szCs w:val="20"/>
          <w:lang w:eastAsia="zh-CN"/>
        </w:rPr>
        <w:t>Toulouse</w:t>
      </w:r>
      <w:r w:rsidR="00960B44" w:rsidRPr="007022BC">
        <w:rPr>
          <w:rFonts w:ascii="Times New Roman" w:eastAsia="SimSun" w:hAnsi="Times New Roman" w:cs="Times New Roman"/>
          <w:b/>
          <w:noProof/>
          <w:sz w:val="24"/>
          <w:szCs w:val="20"/>
          <w:lang w:eastAsia="zh-CN"/>
        </w:rPr>
        <w:t xml:space="preserve">, </w:t>
      </w:r>
      <w:r>
        <w:rPr>
          <w:rFonts w:ascii="Times New Roman" w:eastAsia="SimSun" w:hAnsi="Times New Roman" w:cs="Times New Roman"/>
          <w:b/>
          <w:bCs/>
          <w:noProof/>
          <w:sz w:val="24"/>
          <w:szCs w:val="20"/>
        </w:rPr>
        <w:t xml:space="preserve">Nov. 14-18, </w:t>
      </w:r>
      <w:r w:rsidR="00960B44" w:rsidRPr="007022BC">
        <w:rPr>
          <w:rFonts w:ascii="Times New Roman" w:eastAsia="SimSun" w:hAnsi="Times New Roman" w:cs="Times New Roman"/>
          <w:b/>
          <w:bCs/>
          <w:noProof/>
          <w:sz w:val="24"/>
          <w:szCs w:val="20"/>
        </w:rPr>
        <w:t>2022</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eastAsia="zh-CN"/>
        </w:rPr>
      </w:pPr>
    </w:p>
    <w:p w14:paraId="39C7F13F" w14:textId="343762A8"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AF6119">
        <w:rPr>
          <w:rFonts w:ascii="Times New Roman" w:eastAsia="SimSun" w:hAnsi="Times New Roman" w:cs="Times New Roman"/>
          <w:b/>
          <w:bCs/>
          <w:kern w:val="2"/>
          <w:sz w:val="24"/>
          <w:lang w:eastAsia="zh-CN"/>
        </w:rPr>
        <w:t>8.4.2.1.2</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6A184940"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AF6119">
        <w:rPr>
          <w:rFonts w:ascii="Times New Roman" w:eastAsia="SimSun" w:hAnsi="Times New Roman" w:cs="Times New Roman"/>
          <w:b/>
          <w:bCs/>
          <w:kern w:val="2"/>
          <w:sz w:val="24"/>
          <w:lang w:eastAsia="zh-CN"/>
        </w:rPr>
        <w:t xml:space="preserve">Early TA work in R1 R2 </w:t>
      </w:r>
      <w:r w:rsidR="009E3887">
        <w:rPr>
          <w:rFonts w:ascii="Times New Roman" w:eastAsia="SimSun" w:hAnsi="Times New Roman" w:cs="Times New Roman"/>
          <w:b/>
          <w:bCs/>
          <w:kern w:val="2"/>
          <w:sz w:val="24"/>
          <w:lang w:eastAsia="zh-CN"/>
        </w:rPr>
        <w:t xml:space="preserve">R3 </w:t>
      </w:r>
      <w:r w:rsidR="00AF6119">
        <w:rPr>
          <w:rFonts w:ascii="Times New Roman" w:eastAsia="SimSun" w:hAnsi="Times New Roman" w:cs="Times New Roman"/>
          <w:b/>
          <w:bCs/>
          <w:kern w:val="2"/>
          <w:sz w:val="24"/>
          <w:lang w:eastAsia="zh-CN"/>
        </w:rPr>
        <w:t>and R4</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5852A364" w14:textId="3ACCF59D" w:rsidR="00FF261A" w:rsidRDefault="00FF261A" w:rsidP="004537EC">
      <w:pPr>
        <w:overflowPunct w:val="0"/>
        <w:autoSpaceDE w:val="0"/>
        <w:autoSpaceDN w:val="0"/>
        <w:adjustRightInd w:val="0"/>
        <w:spacing w:after="180" w:line="240" w:lineRule="auto"/>
        <w:textAlignment w:val="baseline"/>
        <w:rPr>
          <w:rFonts w:ascii="Garamond" w:eastAsia="MS Mincho" w:hAnsi="Garamond" w:cs="Times New Roman"/>
          <w:bCs/>
          <w:sz w:val="20"/>
          <w:szCs w:val="20"/>
          <w:lang w:val="en-GB"/>
        </w:rPr>
      </w:pPr>
      <w:bookmarkStart w:id="2" w:name="Proposal_Beacon"/>
      <w:r>
        <w:rPr>
          <w:rFonts w:ascii="Garamond" w:eastAsia="MS Mincho" w:hAnsi="Garamond" w:cs="Times New Roman"/>
          <w:bCs/>
          <w:sz w:val="20"/>
          <w:szCs w:val="20"/>
          <w:lang w:val="en-GB"/>
        </w:rPr>
        <w:t>RAN2 had already in #119 meeting identified that minimizing UL synchronization time is essential to reducing the mobility latency.</w:t>
      </w:r>
    </w:p>
    <w:p w14:paraId="2AEB71DE" w14:textId="77777777" w:rsidR="00FF261A" w:rsidRDefault="00FF261A" w:rsidP="00FF261A">
      <w:pPr>
        <w:keepNext/>
        <w:overflowPunct w:val="0"/>
        <w:autoSpaceDE w:val="0"/>
        <w:autoSpaceDN w:val="0"/>
        <w:adjustRightInd w:val="0"/>
        <w:spacing w:after="180" w:line="240" w:lineRule="auto"/>
        <w:jc w:val="center"/>
        <w:textAlignment w:val="baseline"/>
      </w:pPr>
      <w:r>
        <w:rPr>
          <w:noProof/>
        </w:rPr>
        <w:drawing>
          <wp:inline distT="0" distB="0" distL="0" distR="0" wp14:anchorId="293D6013" wp14:editId="0A634BBF">
            <wp:extent cx="5943600" cy="188785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3600" cy="1887855"/>
                    </a:xfrm>
                    <a:prstGeom prst="rect">
                      <a:avLst/>
                    </a:prstGeom>
                    <a:noFill/>
                  </pic:spPr>
                </pic:pic>
              </a:graphicData>
            </a:graphic>
          </wp:inline>
        </w:drawing>
      </w:r>
    </w:p>
    <w:p w14:paraId="45B4068F" w14:textId="17A6AD52" w:rsidR="00FF261A" w:rsidRDefault="00FF261A" w:rsidP="00FF261A">
      <w:pPr>
        <w:pStyle w:val="Caption"/>
        <w:jc w:val="center"/>
        <w:rPr>
          <w:rFonts w:ascii="Garamond" w:eastAsia="MS Mincho" w:hAnsi="Garamond"/>
          <w:bCs w:val="0"/>
        </w:rPr>
      </w:pPr>
      <w:r>
        <w:t xml:space="preserve">Figure </w:t>
      </w:r>
      <w:r>
        <w:fldChar w:fldCharType="begin"/>
      </w:r>
      <w:r>
        <w:instrText xml:space="preserve"> SEQ Figure \* ARABIC </w:instrText>
      </w:r>
      <w:r>
        <w:fldChar w:fldCharType="separate"/>
      </w:r>
      <w:r w:rsidR="00081570">
        <w:rPr>
          <w:noProof/>
        </w:rPr>
        <w:t>1</w:t>
      </w:r>
      <w:r>
        <w:fldChar w:fldCharType="end"/>
      </w:r>
    </w:p>
    <w:p w14:paraId="21006EE5" w14:textId="7E65B6FD" w:rsidR="002A6976" w:rsidRDefault="00E56A83" w:rsidP="004537EC">
      <w:pPr>
        <w:overflowPunct w:val="0"/>
        <w:autoSpaceDE w:val="0"/>
        <w:autoSpaceDN w:val="0"/>
        <w:adjustRightInd w:val="0"/>
        <w:spacing w:after="180" w:line="240" w:lineRule="auto"/>
        <w:textAlignment w:val="baseline"/>
        <w:rPr>
          <w:rFonts w:ascii="Garamond" w:eastAsia="MS Mincho" w:hAnsi="Garamond" w:cs="Times New Roman"/>
          <w:bCs/>
          <w:sz w:val="20"/>
          <w:szCs w:val="20"/>
          <w:lang w:val="en-GB"/>
        </w:rPr>
      </w:pPr>
      <w:r>
        <w:rPr>
          <w:rFonts w:ascii="Garamond" w:eastAsia="MS Mincho" w:hAnsi="Garamond" w:cs="Times New Roman"/>
          <w:bCs/>
          <w:sz w:val="20"/>
          <w:szCs w:val="20"/>
          <w:lang w:val="en-GB"/>
        </w:rPr>
        <w:t xml:space="preserve">R2 had a </w:t>
      </w:r>
      <w:r w:rsidR="00FF261A">
        <w:rPr>
          <w:rFonts w:ascii="Garamond" w:eastAsia="MS Mincho" w:hAnsi="Garamond" w:cs="Times New Roman"/>
          <w:bCs/>
          <w:sz w:val="20"/>
          <w:szCs w:val="20"/>
          <w:lang w:val="en-GB"/>
        </w:rPr>
        <w:t xml:space="preserve">further </w:t>
      </w:r>
      <w:r>
        <w:rPr>
          <w:rFonts w:ascii="Garamond" w:eastAsia="MS Mincho" w:hAnsi="Garamond" w:cs="Times New Roman"/>
          <w:bCs/>
          <w:sz w:val="20"/>
          <w:szCs w:val="20"/>
          <w:lang w:val="en-GB"/>
        </w:rPr>
        <w:t xml:space="preserve">discussion in RAN2#119bis and had opined that R1 needs to </w:t>
      </w:r>
      <w:r w:rsidR="00FF261A">
        <w:rPr>
          <w:rFonts w:ascii="Garamond" w:eastAsia="MS Mincho" w:hAnsi="Garamond" w:cs="Times New Roman"/>
          <w:bCs/>
          <w:sz w:val="20"/>
          <w:szCs w:val="20"/>
          <w:lang w:val="en-GB"/>
        </w:rPr>
        <w:t xml:space="preserve">work on the RACH-less </w:t>
      </w:r>
      <w:r>
        <w:rPr>
          <w:rFonts w:ascii="Garamond" w:eastAsia="MS Mincho" w:hAnsi="Garamond" w:cs="Times New Roman"/>
          <w:bCs/>
          <w:sz w:val="20"/>
          <w:szCs w:val="20"/>
          <w:lang w:val="en-GB"/>
        </w:rPr>
        <w:t>issue first</w:t>
      </w:r>
      <w:r w:rsidR="002A6976">
        <w:rPr>
          <w:rFonts w:ascii="Garamond" w:eastAsia="MS Mincho" w:hAnsi="Garamond" w:cs="Times New Roman"/>
          <w:bCs/>
          <w:sz w:val="20"/>
          <w:szCs w:val="20"/>
          <w:lang w:val="en-GB"/>
        </w:rPr>
        <w:t>:</w:t>
      </w:r>
      <w:r>
        <w:rPr>
          <w:rFonts w:ascii="Garamond" w:eastAsia="MS Mincho" w:hAnsi="Garamond" w:cs="Times New Roman"/>
          <w:bCs/>
          <w:sz w:val="20"/>
          <w:szCs w:val="20"/>
          <w:lang w:val="en-GB"/>
        </w:rPr>
        <w:t xml:space="preserve"> </w:t>
      </w:r>
    </w:p>
    <w:p w14:paraId="28AB09A8" w14:textId="77777777" w:rsidR="002A6976" w:rsidRPr="002A6976" w:rsidRDefault="002A6976" w:rsidP="002A6976">
      <w:pPr>
        <w:pStyle w:val="ListParagraph"/>
        <w:numPr>
          <w:ilvl w:val="0"/>
          <w:numId w:val="27"/>
        </w:numPr>
        <w:rPr>
          <w:i/>
          <w:iCs/>
        </w:rPr>
      </w:pPr>
      <w:r w:rsidRPr="002A6976">
        <w:rPr>
          <w:i/>
          <w:iCs/>
        </w:rPr>
        <w:t xml:space="preserve">RAN2 assumes that both RACH-based (CFRA, CBRA) and RACH-less procedures for L1 L2 mobility switch may be supported. RACH-less if the UE doesn’t need to acquire TA during the cell switch. RAN2 understands that the feasibility of RACH-less may depend on RAN1, and expect that RAN1 is working on this. </w:t>
      </w:r>
    </w:p>
    <w:p w14:paraId="0EC771E9" w14:textId="59EB4B12" w:rsidR="00DA6BD7" w:rsidRPr="0013580E" w:rsidRDefault="00E56A83" w:rsidP="004537EC">
      <w:pPr>
        <w:overflowPunct w:val="0"/>
        <w:autoSpaceDE w:val="0"/>
        <w:autoSpaceDN w:val="0"/>
        <w:adjustRightInd w:val="0"/>
        <w:spacing w:after="180" w:line="240" w:lineRule="auto"/>
        <w:textAlignment w:val="baseline"/>
        <w:rPr>
          <w:rFonts w:ascii="Garamond" w:eastAsia="MS Mincho" w:hAnsi="Garamond" w:cs="Times New Roman"/>
          <w:bCs/>
          <w:sz w:val="20"/>
          <w:szCs w:val="20"/>
          <w:lang w:val="en-GB"/>
        </w:rPr>
      </w:pPr>
      <w:r>
        <w:rPr>
          <w:rFonts w:ascii="Garamond" w:eastAsia="MS Mincho" w:hAnsi="Garamond" w:cs="Times New Roman"/>
          <w:bCs/>
          <w:sz w:val="20"/>
          <w:szCs w:val="20"/>
          <w:lang w:val="en-GB"/>
        </w:rPr>
        <w:t>This paper shows that indeed there’s plenty to be done in R2</w:t>
      </w:r>
      <w:r w:rsidR="003E2B71">
        <w:rPr>
          <w:rFonts w:ascii="Garamond" w:eastAsia="MS Mincho" w:hAnsi="Garamond" w:cs="Times New Roman"/>
          <w:bCs/>
          <w:sz w:val="20"/>
          <w:szCs w:val="20"/>
          <w:lang w:val="en-GB"/>
        </w:rPr>
        <w:t>, R3</w:t>
      </w:r>
      <w:r>
        <w:rPr>
          <w:rFonts w:ascii="Garamond" w:eastAsia="MS Mincho" w:hAnsi="Garamond" w:cs="Times New Roman"/>
          <w:bCs/>
          <w:sz w:val="20"/>
          <w:szCs w:val="20"/>
          <w:lang w:val="en-GB"/>
        </w:rPr>
        <w:t xml:space="preserve"> and R4 besides waiting for R1 to conclude their work. If not started, the work timeline will get affected.</w:t>
      </w:r>
    </w:p>
    <w:p w14:paraId="51E39D9E" w14:textId="4C7649AB"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Discussion</w:t>
      </w:r>
    </w:p>
    <w:bookmarkEnd w:id="2"/>
    <w:p w14:paraId="4B1870EF" w14:textId="77777777" w:rsidR="004E6C3E" w:rsidRDefault="004E6C3E" w:rsidP="00671B79">
      <w:pPr>
        <w:overflowPunct w:val="0"/>
        <w:autoSpaceDE w:val="0"/>
        <w:autoSpaceDN w:val="0"/>
        <w:adjustRightInd w:val="0"/>
        <w:spacing w:after="180" w:line="240" w:lineRule="auto"/>
        <w:textAlignment w:val="baseline"/>
        <w:rPr>
          <w:rFonts w:ascii="Garamond" w:eastAsia="MS Mincho" w:hAnsi="Garamond" w:cs="Times New Roman"/>
          <w:sz w:val="20"/>
          <w:szCs w:val="20"/>
        </w:rPr>
      </w:pPr>
    </w:p>
    <w:p w14:paraId="6983CE3D" w14:textId="77442C36" w:rsidR="00DB7631" w:rsidRDefault="004E6C3E" w:rsidP="00671B79">
      <w:pPr>
        <w:overflowPunct w:val="0"/>
        <w:autoSpaceDE w:val="0"/>
        <w:autoSpaceDN w:val="0"/>
        <w:adjustRightInd w:val="0"/>
        <w:spacing w:after="180" w:line="240" w:lineRule="auto"/>
        <w:textAlignment w:val="baseline"/>
        <w:rPr>
          <w:rFonts w:ascii="Garamond" w:eastAsia="MS Mincho" w:hAnsi="Garamond" w:cs="Times New Roman"/>
          <w:sz w:val="20"/>
          <w:szCs w:val="20"/>
        </w:rPr>
      </w:pPr>
      <w:r>
        <w:rPr>
          <w:rFonts w:ascii="Garamond" w:eastAsia="MS Mincho" w:hAnsi="Garamond" w:cs="Times New Roman"/>
          <w:bCs/>
          <w:sz w:val="20"/>
          <w:szCs w:val="20"/>
          <w:lang w:val="en-GB"/>
        </w:rPr>
        <w:t xml:space="preserve">RAN2 had a first discussion in RAN2#119bis and had opined that R1 needs to progress </w:t>
      </w:r>
      <w:r w:rsidR="00392CE3">
        <w:rPr>
          <w:rFonts w:ascii="Garamond" w:eastAsia="MS Mincho" w:hAnsi="Garamond" w:cs="Times New Roman"/>
          <w:bCs/>
          <w:sz w:val="20"/>
          <w:szCs w:val="20"/>
          <w:lang w:val="en-GB"/>
        </w:rPr>
        <w:t>RACH-less issue</w:t>
      </w:r>
      <w:r>
        <w:rPr>
          <w:rFonts w:ascii="Garamond" w:eastAsia="MS Mincho" w:hAnsi="Garamond" w:cs="Times New Roman"/>
          <w:bCs/>
          <w:sz w:val="20"/>
          <w:szCs w:val="20"/>
          <w:lang w:val="en-GB"/>
        </w:rPr>
        <w:t xml:space="preserve">. </w:t>
      </w:r>
      <w:r>
        <w:rPr>
          <w:rFonts w:ascii="Garamond" w:eastAsia="MS Mincho" w:hAnsi="Garamond" w:cs="Times New Roman"/>
          <w:sz w:val="20"/>
          <w:szCs w:val="20"/>
        </w:rPr>
        <w:t xml:space="preserve">While it is true that R1 </w:t>
      </w:r>
      <w:r w:rsidR="00332AD8">
        <w:rPr>
          <w:rFonts w:ascii="Garamond" w:eastAsia="MS Mincho" w:hAnsi="Garamond" w:cs="Times New Roman"/>
          <w:sz w:val="20"/>
          <w:szCs w:val="20"/>
        </w:rPr>
        <w:t>needs to decide if a TA acquisition can be avoided for some candidate cells e.g., when a UE’s current TA (N</w:t>
      </w:r>
      <w:r w:rsidR="00332AD8" w:rsidRPr="00332AD8">
        <w:rPr>
          <w:rFonts w:ascii="Garamond" w:eastAsia="MS Mincho" w:hAnsi="Garamond" w:cs="Times New Roman"/>
          <w:sz w:val="20"/>
          <w:szCs w:val="20"/>
          <w:vertAlign w:val="subscript"/>
        </w:rPr>
        <w:t>TA</w:t>
      </w:r>
      <w:r w:rsidR="00332AD8">
        <w:rPr>
          <w:rFonts w:ascii="Garamond" w:eastAsia="MS Mincho" w:hAnsi="Garamond" w:cs="Times New Roman"/>
          <w:sz w:val="20"/>
          <w:szCs w:val="20"/>
        </w:rPr>
        <w:t>) in source cell would work also in the target, or when the target cell is small and therefore UE need not apply any TA there, there’s substantial work to be done in R2 and R4.</w:t>
      </w:r>
    </w:p>
    <w:p w14:paraId="4D71F363" w14:textId="71DA6B9D" w:rsidR="00332AD8" w:rsidRDefault="00332AD8" w:rsidP="00671B79">
      <w:pPr>
        <w:overflowPunct w:val="0"/>
        <w:autoSpaceDE w:val="0"/>
        <w:autoSpaceDN w:val="0"/>
        <w:adjustRightInd w:val="0"/>
        <w:spacing w:after="180" w:line="240" w:lineRule="auto"/>
        <w:textAlignment w:val="baseline"/>
        <w:rPr>
          <w:rFonts w:ascii="Garamond" w:eastAsia="MS Mincho" w:hAnsi="Garamond" w:cs="Times New Roman"/>
          <w:sz w:val="20"/>
          <w:szCs w:val="20"/>
        </w:rPr>
      </w:pPr>
      <w:r>
        <w:rPr>
          <w:rFonts w:ascii="Garamond" w:eastAsia="MS Mincho" w:hAnsi="Garamond" w:cs="Times New Roman"/>
          <w:sz w:val="20"/>
          <w:szCs w:val="20"/>
        </w:rPr>
        <w:t xml:space="preserve">R2 </w:t>
      </w:r>
      <w:r w:rsidR="00392CE3">
        <w:rPr>
          <w:rFonts w:ascii="Garamond" w:eastAsia="MS Mincho" w:hAnsi="Garamond" w:cs="Times New Roman"/>
          <w:sz w:val="20"/>
          <w:szCs w:val="20"/>
        </w:rPr>
        <w:t xml:space="preserve">understands </w:t>
      </w:r>
      <w:r>
        <w:rPr>
          <w:rFonts w:ascii="Garamond" w:eastAsia="MS Mincho" w:hAnsi="Garamond" w:cs="Times New Roman"/>
          <w:sz w:val="20"/>
          <w:szCs w:val="20"/>
        </w:rPr>
        <w:t>that reducing UL Synchronization time is vital for R18 work and that there will be at least some candidate cells for which a “real” TA would be necessary. Proponent thinks that R2 work is substantial, as will be shown in this document and will include RAN2 CP and UP work for acquiring an Early TA.</w:t>
      </w:r>
    </w:p>
    <w:p w14:paraId="7A5F04C6" w14:textId="0D5C3024" w:rsidR="009B0E1E" w:rsidRDefault="009B0E1E" w:rsidP="00671B79">
      <w:pPr>
        <w:overflowPunct w:val="0"/>
        <w:autoSpaceDE w:val="0"/>
        <w:autoSpaceDN w:val="0"/>
        <w:adjustRightInd w:val="0"/>
        <w:spacing w:after="180" w:line="240" w:lineRule="auto"/>
        <w:textAlignment w:val="baseline"/>
        <w:rPr>
          <w:rFonts w:ascii="Garamond" w:eastAsia="MS Mincho" w:hAnsi="Garamond" w:cs="Times New Roman"/>
          <w:sz w:val="20"/>
          <w:szCs w:val="20"/>
        </w:rPr>
      </w:pPr>
      <w:r>
        <w:rPr>
          <w:rFonts w:ascii="Garamond" w:eastAsia="MS Mincho" w:hAnsi="Garamond" w:cs="Times New Roman"/>
          <w:sz w:val="20"/>
          <w:szCs w:val="20"/>
        </w:rPr>
        <w:t>R3 will also need to be consulted i</w:t>
      </w:r>
      <w:r w:rsidR="00F33174">
        <w:rPr>
          <w:rFonts w:ascii="Garamond" w:eastAsia="MS Mincho" w:hAnsi="Garamond" w:cs="Times New Roman"/>
          <w:sz w:val="20"/>
          <w:szCs w:val="20"/>
        </w:rPr>
        <w:t>f the target cell should make PUSCH resources available to the UE when LTM has indicated a cell switch and UE may or may not</w:t>
      </w:r>
      <w:r w:rsidR="00C62731">
        <w:rPr>
          <w:rStyle w:val="FootnoteReference"/>
          <w:rFonts w:ascii="Garamond" w:eastAsia="MS Mincho" w:hAnsi="Garamond" w:cs="Times New Roman"/>
          <w:sz w:val="20"/>
          <w:szCs w:val="20"/>
        </w:rPr>
        <w:footnoteReference w:id="1"/>
      </w:r>
      <w:r w:rsidR="00F33174">
        <w:rPr>
          <w:rFonts w:ascii="Garamond" w:eastAsia="MS Mincho" w:hAnsi="Garamond" w:cs="Times New Roman"/>
          <w:sz w:val="20"/>
          <w:szCs w:val="20"/>
        </w:rPr>
        <w:t xml:space="preserve"> have yet acquired an Early TA.</w:t>
      </w:r>
    </w:p>
    <w:p w14:paraId="7F757EA9" w14:textId="7AB484FE" w:rsidR="00332AD8" w:rsidRDefault="00332AD8" w:rsidP="00671B79">
      <w:pPr>
        <w:overflowPunct w:val="0"/>
        <w:autoSpaceDE w:val="0"/>
        <w:autoSpaceDN w:val="0"/>
        <w:adjustRightInd w:val="0"/>
        <w:spacing w:after="180" w:line="240" w:lineRule="auto"/>
        <w:textAlignment w:val="baseline"/>
        <w:rPr>
          <w:rFonts w:ascii="Garamond" w:eastAsia="MS Mincho" w:hAnsi="Garamond" w:cs="Times New Roman"/>
          <w:sz w:val="20"/>
          <w:szCs w:val="20"/>
        </w:rPr>
      </w:pPr>
      <w:r>
        <w:rPr>
          <w:rFonts w:ascii="Garamond" w:eastAsia="MS Mincho" w:hAnsi="Garamond" w:cs="Times New Roman"/>
          <w:sz w:val="20"/>
          <w:szCs w:val="20"/>
        </w:rPr>
        <w:lastRenderedPageBreak/>
        <w:t>R4 will also need to be involved</w:t>
      </w:r>
      <w:r w:rsidR="007903AE">
        <w:rPr>
          <w:rFonts w:ascii="Garamond" w:eastAsia="MS Mincho" w:hAnsi="Garamond" w:cs="Times New Roman"/>
          <w:sz w:val="20"/>
          <w:szCs w:val="20"/>
        </w:rPr>
        <w:t xml:space="preserve"> since the performance of acquiring Early TA, esp. on a non-serving frequency with/ without continual data activity in source cell will depend on UE capability and therefore must be testable. </w:t>
      </w:r>
    </w:p>
    <w:p w14:paraId="139FFC0B" w14:textId="18FD5331" w:rsidR="00332AD8" w:rsidRDefault="00622BDB" w:rsidP="00671B79">
      <w:pPr>
        <w:overflowPunct w:val="0"/>
        <w:autoSpaceDE w:val="0"/>
        <w:autoSpaceDN w:val="0"/>
        <w:adjustRightInd w:val="0"/>
        <w:spacing w:after="180" w:line="240" w:lineRule="auto"/>
        <w:textAlignment w:val="baseline"/>
        <w:rPr>
          <w:rFonts w:ascii="Garamond" w:eastAsia="MS Mincho" w:hAnsi="Garamond" w:cs="Times New Roman"/>
          <w:sz w:val="20"/>
          <w:szCs w:val="20"/>
        </w:rPr>
      </w:pPr>
      <w:r>
        <w:rPr>
          <w:rFonts w:ascii="Garamond" w:eastAsia="MS Mincho" w:hAnsi="Garamond" w:cs="Times New Roman"/>
          <w:sz w:val="20"/>
          <w:szCs w:val="20"/>
        </w:rPr>
        <w:t xml:space="preserve">Therefore, we think that </w:t>
      </w:r>
      <w:r w:rsidR="00FA1243">
        <w:rPr>
          <w:rFonts w:ascii="Garamond" w:eastAsia="MS Mincho" w:hAnsi="Garamond" w:cs="Times New Roman"/>
          <w:sz w:val="20"/>
          <w:szCs w:val="20"/>
        </w:rPr>
        <w:t>RAN2 starts the real work for Early TA acquisition and liaise with R1 and R4 wherever necessary.</w:t>
      </w:r>
    </w:p>
    <w:p w14:paraId="447A1C72" w14:textId="334F5F2D" w:rsidR="00E51219" w:rsidRPr="005463EB" w:rsidRDefault="00FA1243" w:rsidP="00C44E79">
      <w:pPr>
        <w:pStyle w:val="Proposal"/>
        <w:rPr>
          <w:rFonts w:ascii="Garamond" w:hAnsi="Garamond"/>
        </w:rPr>
      </w:pPr>
      <w:r w:rsidRPr="005463EB">
        <w:rPr>
          <w:rFonts w:ascii="Garamond" w:eastAsia="MS Mincho" w:hAnsi="Garamond"/>
        </w:rPr>
        <w:t>RAN2 start</w:t>
      </w:r>
      <w:r w:rsidR="0047154B" w:rsidRPr="005463EB">
        <w:rPr>
          <w:rFonts w:ascii="Garamond" w:eastAsia="MS Mincho" w:hAnsi="Garamond"/>
        </w:rPr>
        <w:t xml:space="preserve">s </w:t>
      </w:r>
      <w:r w:rsidRPr="005463EB">
        <w:rPr>
          <w:rFonts w:ascii="Garamond" w:eastAsia="MS Mincho" w:hAnsi="Garamond"/>
        </w:rPr>
        <w:t>the work for Early TA acquisition and liaise with R1</w:t>
      </w:r>
      <w:r w:rsidR="00C62731" w:rsidRPr="005463EB">
        <w:rPr>
          <w:rFonts w:ascii="Garamond" w:eastAsia="MS Mincho" w:hAnsi="Garamond"/>
        </w:rPr>
        <w:t>, R3</w:t>
      </w:r>
      <w:r w:rsidRPr="005463EB">
        <w:rPr>
          <w:rFonts w:ascii="Garamond" w:eastAsia="MS Mincho" w:hAnsi="Garamond"/>
        </w:rPr>
        <w:t xml:space="preserve"> and R4 wherever necessary.</w:t>
      </w:r>
    </w:p>
    <w:p w14:paraId="4A9E37A7" w14:textId="77777777" w:rsidR="000E6A78" w:rsidRDefault="000E6A78" w:rsidP="00C44E79">
      <w:pPr>
        <w:pStyle w:val="Heading2"/>
      </w:pPr>
    </w:p>
    <w:p w14:paraId="6201E341" w14:textId="36613796" w:rsidR="00305D41" w:rsidRPr="00E94E0D" w:rsidRDefault="00A03D7D" w:rsidP="000E6A78">
      <w:pPr>
        <w:pStyle w:val="Heading1"/>
        <w:numPr>
          <w:ilvl w:val="1"/>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sz w:val="28"/>
          <w:szCs w:val="16"/>
        </w:rPr>
      </w:pPr>
      <w:r w:rsidRPr="00E94E0D">
        <w:rPr>
          <w:sz w:val="28"/>
          <w:szCs w:val="16"/>
        </w:rPr>
        <w:t>Ear</w:t>
      </w:r>
      <w:r w:rsidR="00C44E79" w:rsidRPr="00E94E0D">
        <w:rPr>
          <w:sz w:val="28"/>
          <w:szCs w:val="16"/>
        </w:rPr>
        <w:t>l</w:t>
      </w:r>
      <w:r w:rsidRPr="00E94E0D">
        <w:rPr>
          <w:sz w:val="28"/>
          <w:szCs w:val="16"/>
        </w:rPr>
        <w:t>y TA Acquisition</w:t>
      </w:r>
    </w:p>
    <w:p w14:paraId="5FA0C98E" w14:textId="77777777" w:rsidR="000E6A78" w:rsidRPr="000E6A78" w:rsidRDefault="000E6A78" w:rsidP="000E6A78"/>
    <w:p w14:paraId="7F18E0F5" w14:textId="115447E5" w:rsidR="0014437B" w:rsidRPr="0014437B" w:rsidRDefault="0014437B" w:rsidP="0014437B">
      <w:pPr>
        <w:rPr>
          <w:rFonts w:ascii="Garamond" w:hAnsi="Garamond"/>
          <w:sz w:val="20"/>
          <w:szCs w:val="20"/>
        </w:rPr>
      </w:pPr>
      <w:r w:rsidRPr="0014437B">
        <w:rPr>
          <w:rFonts w:ascii="Garamond" w:hAnsi="Garamond"/>
          <w:sz w:val="20"/>
          <w:szCs w:val="20"/>
        </w:rPr>
        <w:t>First, a</w:t>
      </w:r>
      <w:r>
        <w:rPr>
          <w:rFonts w:ascii="Garamond" w:hAnsi="Garamond"/>
          <w:sz w:val="20"/>
          <w:szCs w:val="20"/>
        </w:rPr>
        <w:t>n example</w:t>
      </w:r>
      <w:r w:rsidRPr="0014437B">
        <w:rPr>
          <w:rFonts w:ascii="Garamond" w:hAnsi="Garamond"/>
          <w:sz w:val="20"/>
          <w:szCs w:val="20"/>
        </w:rPr>
        <w:t xml:space="preserve"> message flow is </w:t>
      </w:r>
      <w:r>
        <w:rPr>
          <w:rFonts w:ascii="Garamond" w:hAnsi="Garamond"/>
          <w:sz w:val="20"/>
          <w:szCs w:val="20"/>
        </w:rPr>
        <w:t xml:space="preserve">used to </w:t>
      </w:r>
      <w:r w:rsidR="00A62E72">
        <w:rPr>
          <w:rFonts w:ascii="Garamond" w:hAnsi="Garamond"/>
          <w:sz w:val="20"/>
          <w:szCs w:val="20"/>
        </w:rPr>
        <w:t xml:space="preserve">establish </w:t>
      </w:r>
      <w:r>
        <w:rPr>
          <w:rFonts w:ascii="Garamond" w:hAnsi="Garamond"/>
          <w:sz w:val="20"/>
          <w:szCs w:val="20"/>
        </w:rPr>
        <w:t>common understanding</w:t>
      </w:r>
      <w:r w:rsidRPr="0014437B">
        <w:rPr>
          <w:rFonts w:ascii="Garamond" w:hAnsi="Garamond"/>
          <w:sz w:val="20"/>
          <w:szCs w:val="20"/>
        </w:rPr>
        <w:t xml:space="preserve">: In </w:t>
      </w:r>
      <w:r w:rsidRPr="0014437B">
        <w:rPr>
          <w:rFonts w:ascii="Garamond" w:hAnsi="Garamond"/>
          <w:sz w:val="20"/>
          <w:szCs w:val="20"/>
        </w:rPr>
        <w:fldChar w:fldCharType="begin"/>
      </w:r>
      <w:r w:rsidRPr="0014437B">
        <w:rPr>
          <w:rFonts w:ascii="Garamond" w:hAnsi="Garamond"/>
          <w:sz w:val="20"/>
          <w:szCs w:val="20"/>
        </w:rPr>
        <w:instrText xml:space="preserve"> REF _Ref117850626 \h  \* MERGEFORMAT </w:instrText>
      </w:r>
      <w:r w:rsidRPr="0014437B">
        <w:rPr>
          <w:rFonts w:ascii="Garamond" w:hAnsi="Garamond"/>
          <w:sz w:val="20"/>
          <w:szCs w:val="20"/>
        </w:rPr>
      </w:r>
      <w:r w:rsidRPr="0014437B">
        <w:rPr>
          <w:rFonts w:ascii="Garamond" w:hAnsi="Garamond"/>
          <w:sz w:val="20"/>
          <w:szCs w:val="20"/>
        </w:rPr>
        <w:fldChar w:fldCharType="separate"/>
      </w:r>
      <w:r w:rsidR="00081570" w:rsidRPr="00081570">
        <w:rPr>
          <w:rFonts w:ascii="Garamond" w:hAnsi="Garamond"/>
          <w:sz w:val="20"/>
          <w:szCs w:val="20"/>
        </w:rPr>
        <w:t xml:space="preserve">Figure </w:t>
      </w:r>
      <w:r w:rsidR="00081570" w:rsidRPr="00081570">
        <w:rPr>
          <w:rFonts w:ascii="Garamond" w:hAnsi="Garamond"/>
          <w:noProof/>
          <w:sz w:val="20"/>
          <w:szCs w:val="20"/>
        </w:rPr>
        <w:t>2</w:t>
      </w:r>
      <w:r w:rsidRPr="0014437B">
        <w:rPr>
          <w:rFonts w:ascii="Garamond" w:hAnsi="Garamond"/>
          <w:sz w:val="20"/>
          <w:szCs w:val="20"/>
        </w:rPr>
        <w:fldChar w:fldCharType="end"/>
      </w:r>
      <w:r w:rsidRPr="0014437B">
        <w:rPr>
          <w:rFonts w:ascii="Garamond" w:hAnsi="Garamond"/>
          <w:sz w:val="20"/>
          <w:szCs w:val="20"/>
        </w:rPr>
        <w:t xml:space="preserve">, a RRC Connected UE </w:t>
      </w:r>
      <w:r w:rsidR="00A62E72">
        <w:rPr>
          <w:rFonts w:ascii="Garamond" w:hAnsi="Garamond"/>
          <w:sz w:val="20"/>
          <w:szCs w:val="20"/>
        </w:rPr>
        <w:t xml:space="preserve">performs preliminary </w:t>
      </w:r>
      <w:r w:rsidRPr="0014437B">
        <w:rPr>
          <w:rFonts w:ascii="Garamond" w:hAnsi="Garamond"/>
          <w:sz w:val="20"/>
          <w:szCs w:val="20"/>
        </w:rPr>
        <w:t xml:space="preserve">measurement </w:t>
      </w:r>
      <w:r w:rsidR="00A62E72">
        <w:rPr>
          <w:rFonts w:ascii="Garamond" w:hAnsi="Garamond"/>
          <w:sz w:val="20"/>
          <w:szCs w:val="20"/>
        </w:rPr>
        <w:t xml:space="preserve">reporting (based on a RRC measurement configuration), and after receiving the measurement </w:t>
      </w:r>
      <w:r w:rsidRPr="0014437B">
        <w:rPr>
          <w:rFonts w:ascii="Garamond" w:hAnsi="Garamond"/>
          <w:sz w:val="20"/>
          <w:szCs w:val="20"/>
        </w:rPr>
        <w:t xml:space="preserve">result from the UE, serving cell sends a </w:t>
      </w:r>
      <w:r w:rsidR="00A62E72">
        <w:rPr>
          <w:rFonts w:ascii="Garamond" w:hAnsi="Garamond"/>
          <w:sz w:val="20"/>
          <w:szCs w:val="20"/>
        </w:rPr>
        <w:t>f</w:t>
      </w:r>
      <w:r w:rsidRPr="0014437B">
        <w:rPr>
          <w:rFonts w:ascii="Garamond" w:hAnsi="Garamond"/>
          <w:sz w:val="20"/>
          <w:szCs w:val="20"/>
        </w:rPr>
        <w:t xml:space="preserve">irst-RRC-Reconfiguration. A L1/L2 inter-cell mobility candidate configuration is received within this RRC message. Following RRC models (defining content of the First-RRC-Reconfiguration) </w:t>
      </w:r>
      <w:r w:rsidR="00FA3732">
        <w:rPr>
          <w:rFonts w:ascii="Garamond" w:hAnsi="Garamond"/>
          <w:sz w:val="20"/>
          <w:szCs w:val="20"/>
        </w:rPr>
        <w:t xml:space="preserve">were shortlisted by R2 previously </w:t>
      </w:r>
      <w:r w:rsidRPr="0014437B">
        <w:rPr>
          <w:rFonts w:ascii="Garamond" w:hAnsi="Garamond"/>
          <w:sz w:val="20"/>
          <w:szCs w:val="20"/>
        </w:rPr>
        <w:t>to provide UE with the required configuration to accomplish L1/L2 inter-cell mobility.</w:t>
      </w:r>
    </w:p>
    <w:p w14:paraId="787B05AB" w14:textId="77777777" w:rsidR="0014437B" w:rsidRPr="0014437B" w:rsidRDefault="0014437B" w:rsidP="0014437B">
      <w:pPr>
        <w:ind w:left="720"/>
        <w:rPr>
          <w:rFonts w:ascii="Garamond" w:hAnsi="Garamond"/>
          <w:sz w:val="20"/>
          <w:szCs w:val="20"/>
        </w:rPr>
      </w:pPr>
      <w:r w:rsidRPr="0014437B">
        <w:rPr>
          <w:rFonts w:ascii="Garamond" w:hAnsi="Garamond"/>
          <w:sz w:val="20"/>
          <w:szCs w:val="20"/>
        </w:rPr>
        <w:t>Model 1: One RRC Reconfiguration message (</w:t>
      </w:r>
      <w:r w:rsidRPr="0014437B">
        <w:rPr>
          <w:rFonts w:ascii="Garamond" w:hAnsi="Garamond"/>
          <w:i/>
          <w:iCs/>
          <w:sz w:val="20"/>
          <w:szCs w:val="20"/>
        </w:rPr>
        <w:t>RRCReconfiguration</w:t>
      </w:r>
      <w:r w:rsidRPr="0014437B">
        <w:rPr>
          <w:rFonts w:ascii="Garamond" w:hAnsi="Garamond"/>
          <w:sz w:val="20"/>
          <w:szCs w:val="20"/>
        </w:rPr>
        <w:t>) for each candidate configuration</w:t>
      </w:r>
    </w:p>
    <w:p w14:paraId="22957C44" w14:textId="77777777" w:rsidR="0014437B" w:rsidRPr="0014437B" w:rsidRDefault="0014437B" w:rsidP="0014437B">
      <w:pPr>
        <w:ind w:left="720"/>
        <w:rPr>
          <w:rFonts w:ascii="Garamond" w:hAnsi="Garamond"/>
          <w:sz w:val="20"/>
          <w:szCs w:val="20"/>
        </w:rPr>
      </w:pPr>
      <w:r w:rsidRPr="0014437B">
        <w:rPr>
          <w:rFonts w:ascii="Garamond" w:hAnsi="Garamond"/>
          <w:sz w:val="20"/>
          <w:szCs w:val="20"/>
        </w:rPr>
        <w:t>Model 2: One Cell group configuration (</w:t>
      </w:r>
      <w:r w:rsidRPr="0014437B">
        <w:rPr>
          <w:rFonts w:ascii="Garamond" w:hAnsi="Garamond"/>
          <w:i/>
          <w:iCs/>
          <w:sz w:val="20"/>
          <w:szCs w:val="20"/>
        </w:rPr>
        <w:t>CellGroupConfig</w:t>
      </w:r>
      <w:r w:rsidRPr="0014437B">
        <w:rPr>
          <w:rFonts w:ascii="Garamond" w:hAnsi="Garamond"/>
          <w:sz w:val="20"/>
          <w:szCs w:val="20"/>
        </w:rPr>
        <w:t xml:space="preserve"> IE) for each candidate configuration.</w:t>
      </w:r>
    </w:p>
    <w:p w14:paraId="5BCCFC04" w14:textId="77777777" w:rsidR="0014437B" w:rsidRDefault="0014437B" w:rsidP="0014437B"/>
    <w:p w14:paraId="61ED11F3" w14:textId="3B048699" w:rsidR="0014437B" w:rsidRDefault="00E2544D" w:rsidP="0014437B">
      <w:pPr>
        <w:keepNext/>
        <w:jc w:val="center"/>
      </w:pPr>
      <w:r>
        <w:object w:dxaOrig="13096" w:dyaOrig="8417" w14:anchorId="7D1B13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67.45pt;height:300.35pt" o:ole="">
            <v:imagedata r:id="rId9" o:title=""/>
          </v:shape>
          <o:OLEObject Type="Embed" ProgID="Visio.Drawing.15" ShapeID="_x0000_i1028" DrawAspect="Content" ObjectID="_1728986534" r:id="rId10"/>
        </w:object>
      </w:r>
    </w:p>
    <w:p w14:paraId="5ED671B7" w14:textId="3EAB2FE5" w:rsidR="0014437B" w:rsidRDefault="0014437B" w:rsidP="0014437B">
      <w:pPr>
        <w:pStyle w:val="Caption"/>
        <w:jc w:val="center"/>
      </w:pPr>
      <w:bookmarkStart w:id="3" w:name="_Ref117850626"/>
      <w:r>
        <w:t xml:space="preserve">Figure </w:t>
      </w:r>
      <w:r>
        <w:fldChar w:fldCharType="begin"/>
      </w:r>
      <w:r>
        <w:instrText xml:space="preserve"> SEQ Figure \* ARABIC </w:instrText>
      </w:r>
      <w:r>
        <w:fldChar w:fldCharType="separate"/>
      </w:r>
      <w:r w:rsidR="00081570">
        <w:rPr>
          <w:noProof/>
        </w:rPr>
        <w:t>2</w:t>
      </w:r>
      <w:r>
        <w:fldChar w:fldCharType="end"/>
      </w:r>
      <w:bookmarkEnd w:id="3"/>
      <w:r>
        <w:t>: L1 L2 inter-cell mobility</w:t>
      </w:r>
    </w:p>
    <w:p w14:paraId="63D55C89" w14:textId="77777777" w:rsidR="0014437B" w:rsidRDefault="0014437B" w:rsidP="0014437B">
      <w:pPr>
        <w:rPr>
          <w:b/>
          <w:bCs/>
        </w:rPr>
      </w:pPr>
    </w:p>
    <w:p w14:paraId="693AD89C" w14:textId="77777777" w:rsidR="00255DD3" w:rsidRDefault="0004505D" w:rsidP="0014437B">
      <w:pPr>
        <w:rPr>
          <w:rFonts w:ascii="Garamond" w:hAnsi="Garamond"/>
          <w:sz w:val="20"/>
          <w:szCs w:val="20"/>
        </w:rPr>
      </w:pPr>
      <w:r w:rsidRPr="00255DD3">
        <w:rPr>
          <w:rFonts w:ascii="Garamond" w:hAnsi="Garamond"/>
          <w:b/>
          <w:bCs/>
          <w:u w:val="single"/>
        </w:rPr>
        <w:t>Restricting Early TA procedures to a minimum</w:t>
      </w:r>
      <w:r w:rsidRPr="0004505D">
        <w:rPr>
          <w:rFonts w:ascii="Garamond" w:hAnsi="Garamond"/>
          <w:b/>
          <w:bCs/>
          <w:sz w:val="20"/>
          <w:szCs w:val="20"/>
          <w:u w:val="single"/>
        </w:rPr>
        <w:t>:</w:t>
      </w:r>
      <w:r>
        <w:rPr>
          <w:rFonts w:ascii="Garamond" w:hAnsi="Garamond"/>
          <w:sz w:val="20"/>
          <w:szCs w:val="20"/>
        </w:rPr>
        <w:t xml:space="preserve"> </w:t>
      </w:r>
    </w:p>
    <w:p w14:paraId="434B2471" w14:textId="040215C7" w:rsidR="0004505D" w:rsidRDefault="0004505D" w:rsidP="0014437B">
      <w:pPr>
        <w:rPr>
          <w:rFonts w:ascii="Garamond" w:hAnsi="Garamond"/>
          <w:sz w:val="20"/>
          <w:szCs w:val="20"/>
        </w:rPr>
      </w:pPr>
      <w:r>
        <w:rPr>
          <w:rFonts w:ascii="Garamond" w:hAnsi="Garamond"/>
          <w:sz w:val="20"/>
          <w:szCs w:val="20"/>
        </w:rPr>
        <w:lastRenderedPageBreak/>
        <w:t>A gNB (CU) may have 1000s of cells</w:t>
      </w:r>
      <w:r>
        <w:rPr>
          <w:rStyle w:val="FootnoteReference"/>
          <w:rFonts w:ascii="Garamond" w:hAnsi="Garamond"/>
          <w:sz w:val="20"/>
          <w:szCs w:val="20"/>
        </w:rPr>
        <w:footnoteReference w:id="2"/>
      </w:r>
      <w:r>
        <w:rPr>
          <w:rFonts w:ascii="Garamond" w:hAnsi="Garamond"/>
          <w:sz w:val="20"/>
          <w:szCs w:val="20"/>
        </w:rPr>
        <w:t xml:space="preserve"> in its area and even the candidate cells included in the first</w:t>
      </w:r>
      <w:r w:rsidRPr="00280E9E">
        <w:rPr>
          <w:rFonts w:ascii="Garamond" w:hAnsi="Garamond"/>
          <w:sz w:val="20"/>
          <w:szCs w:val="20"/>
        </w:rPr>
        <w:t>-RRC-Reconfiguration</w:t>
      </w:r>
      <w:r>
        <w:rPr>
          <w:rFonts w:ascii="Garamond" w:hAnsi="Garamond"/>
          <w:sz w:val="20"/>
          <w:szCs w:val="20"/>
        </w:rPr>
        <w:t xml:space="preserve"> can </w:t>
      </w:r>
      <w:r w:rsidR="00A36201">
        <w:rPr>
          <w:rFonts w:ascii="Garamond" w:hAnsi="Garamond"/>
          <w:sz w:val="20"/>
          <w:szCs w:val="20"/>
        </w:rPr>
        <w:t xml:space="preserve">contain </w:t>
      </w:r>
      <w:r>
        <w:rPr>
          <w:rFonts w:ascii="Garamond" w:hAnsi="Garamond"/>
          <w:sz w:val="20"/>
          <w:szCs w:val="20"/>
        </w:rPr>
        <w:t>like 8</w:t>
      </w:r>
      <w:r w:rsidR="00A36201">
        <w:rPr>
          <w:rFonts w:ascii="Garamond" w:hAnsi="Garamond"/>
          <w:sz w:val="20"/>
          <w:szCs w:val="20"/>
        </w:rPr>
        <w:t xml:space="preserve"> cells, though R2 is yet to look at this.</w:t>
      </w:r>
      <w:r>
        <w:rPr>
          <w:rFonts w:ascii="Garamond" w:hAnsi="Garamond"/>
          <w:sz w:val="20"/>
          <w:szCs w:val="20"/>
        </w:rPr>
        <w:t xml:space="preserve"> Therefore, the early TA acquisition for all candidate cells included in the first</w:t>
      </w:r>
      <w:r w:rsidRPr="00280E9E">
        <w:rPr>
          <w:rFonts w:ascii="Garamond" w:hAnsi="Garamond"/>
          <w:sz w:val="20"/>
          <w:szCs w:val="20"/>
        </w:rPr>
        <w:t>-RRC-Reconfiguration</w:t>
      </w:r>
      <w:r>
        <w:rPr>
          <w:rFonts w:ascii="Garamond" w:hAnsi="Garamond"/>
          <w:sz w:val="20"/>
          <w:szCs w:val="20"/>
        </w:rPr>
        <w:t xml:space="preserve"> message is certainly wasteful for UE battery – and – it might even interrupt ongoing data transmission/ reception with the source cell. </w:t>
      </w:r>
    </w:p>
    <w:p w14:paraId="02FDD300" w14:textId="5394F093" w:rsidR="00A36201" w:rsidRPr="00A36201" w:rsidRDefault="00A36201" w:rsidP="00A36201">
      <w:pPr>
        <w:pStyle w:val="Proposal"/>
        <w:rPr>
          <w:rFonts w:ascii="Garamond" w:hAnsi="Garamond"/>
        </w:rPr>
      </w:pPr>
      <w:r w:rsidRPr="00A36201">
        <w:rPr>
          <w:rFonts w:ascii="Garamond" w:hAnsi="Garamond"/>
        </w:rPr>
        <w:t>UE shall acquire Early TA for a bare minimum candidate cell.</w:t>
      </w:r>
    </w:p>
    <w:p w14:paraId="11526229" w14:textId="03CC2DB5" w:rsidR="001676A5" w:rsidRDefault="001676A5" w:rsidP="0014437B">
      <w:pPr>
        <w:rPr>
          <w:rFonts w:ascii="Garamond" w:hAnsi="Garamond"/>
          <w:sz w:val="20"/>
          <w:szCs w:val="20"/>
        </w:rPr>
      </w:pPr>
      <w:r>
        <w:rPr>
          <w:rFonts w:ascii="Garamond" w:hAnsi="Garamond"/>
          <w:sz w:val="20"/>
          <w:szCs w:val="20"/>
        </w:rPr>
        <w:t>As one possibility</w:t>
      </w:r>
      <w:r w:rsidR="0014437B" w:rsidRPr="00280E9E">
        <w:rPr>
          <w:rFonts w:ascii="Garamond" w:hAnsi="Garamond"/>
          <w:sz w:val="20"/>
          <w:szCs w:val="20"/>
        </w:rPr>
        <w:t xml:space="preserve">, network </w:t>
      </w:r>
      <w:r>
        <w:rPr>
          <w:rFonts w:ascii="Garamond" w:hAnsi="Garamond"/>
          <w:sz w:val="20"/>
          <w:szCs w:val="20"/>
        </w:rPr>
        <w:t xml:space="preserve">knows/ </w:t>
      </w:r>
      <w:r w:rsidR="0014437B" w:rsidRPr="00280E9E">
        <w:rPr>
          <w:rFonts w:ascii="Garamond" w:hAnsi="Garamond"/>
          <w:sz w:val="20"/>
          <w:szCs w:val="20"/>
        </w:rPr>
        <w:t xml:space="preserve">assumes that a UE is more likely to move in a certain direction and land up on </w:t>
      </w:r>
      <w:r>
        <w:rPr>
          <w:rFonts w:ascii="Garamond" w:hAnsi="Garamond"/>
          <w:sz w:val="20"/>
          <w:szCs w:val="20"/>
        </w:rPr>
        <w:t xml:space="preserve">certain </w:t>
      </w:r>
      <w:r w:rsidR="0014437B" w:rsidRPr="00280E9E">
        <w:rPr>
          <w:rFonts w:ascii="Garamond" w:hAnsi="Garamond"/>
          <w:sz w:val="20"/>
          <w:szCs w:val="20"/>
        </w:rPr>
        <w:t xml:space="preserve">cell(s), UE starts Early TA procedure </w:t>
      </w:r>
      <w:r>
        <w:rPr>
          <w:rFonts w:ascii="Garamond" w:hAnsi="Garamond"/>
          <w:sz w:val="20"/>
          <w:szCs w:val="20"/>
        </w:rPr>
        <w:t>on this subset of candidate cells</w:t>
      </w:r>
      <w:r w:rsidR="0014437B" w:rsidRPr="00280E9E">
        <w:rPr>
          <w:rFonts w:ascii="Garamond" w:hAnsi="Garamond"/>
          <w:sz w:val="20"/>
          <w:szCs w:val="20"/>
        </w:rPr>
        <w:t>, starting with the first one</w:t>
      </w:r>
      <w:r w:rsidR="00C935B6">
        <w:rPr>
          <w:rFonts w:ascii="Garamond" w:hAnsi="Garamond"/>
          <w:sz w:val="20"/>
          <w:szCs w:val="20"/>
        </w:rPr>
        <w:t xml:space="preserve"> selected from the subset</w:t>
      </w:r>
      <w:r w:rsidR="0014437B" w:rsidRPr="00280E9E">
        <w:rPr>
          <w:rFonts w:ascii="Garamond" w:hAnsi="Garamond"/>
          <w:sz w:val="20"/>
          <w:szCs w:val="20"/>
        </w:rPr>
        <w:t>.</w:t>
      </w:r>
      <w:r w:rsidR="005C21DB">
        <w:rPr>
          <w:rFonts w:ascii="Garamond" w:hAnsi="Garamond"/>
          <w:sz w:val="20"/>
          <w:szCs w:val="20"/>
        </w:rPr>
        <w:t xml:space="preserve"> Network may for example explicitly indicate within the </w:t>
      </w:r>
      <w:r w:rsidR="00BD0119">
        <w:rPr>
          <w:rFonts w:ascii="Garamond" w:hAnsi="Garamond"/>
          <w:sz w:val="20"/>
          <w:szCs w:val="20"/>
        </w:rPr>
        <w:t>RRC</w:t>
      </w:r>
      <w:r w:rsidR="005C21DB" w:rsidRPr="0014437B">
        <w:rPr>
          <w:rFonts w:ascii="Garamond" w:hAnsi="Garamond"/>
          <w:sz w:val="20"/>
          <w:szCs w:val="20"/>
        </w:rPr>
        <w:t xml:space="preserve"> </w:t>
      </w:r>
      <w:r w:rsidR="00C935B6">
        <w:rPr>
          <w:rFonts w:ascii="Garamond" w:hAnsi="Garamond"/>
          <w:sz w:val="20"/>
          <w:szCs w:val="20"/>
        </w:rPr>
        <w:t>re</w:t>
      </w:r>
      <w:r w:rsidR="005C21DB" w:rsidRPr="0014437B">
        <w:rPr>
          <w:rFonts w:ascii="Garamond" w:hAnsi="Garamond"/>
          <w:sz w:val="20"/>
          <w:szCs w:val="20"/>
        </w:rPr>
        <w:t>configuration</w:t>
      </w:r>
      <w:r w:rsidR="005C21DB">
        <w:rPr>
          <w:rFonts w:ascii="Garamond" w:hAnsi="Garamond"/>
          <w:sz w:val="20"/>
          <w:szCs w:val="20"/>
        </w:rPr>
        <w:t xml:space="preserve"> message for which of the candidate cells UE shall initiate the early TA acquisition procedure. </w:t>
      </w:r>
      <w:r w:rsidR="0049358A">
        <w:rPr>
          <w:rFonts w:ascii="Garamond" w:hAnsi="Garamond"/>
          <w:sz w:val="20"/>
          <w:szCs w:val="20"/>
        </w:rPr>
        <w:t xml:space="preserve">Further, </w:t>
      </w:r>
      <w:r w:rsidR="0049358A" w:rsidRPr="0049358A">
        <w:rPr>
          <w:rFonts w:ascii="Garamond" w:hAnsi="Garamond"/>
          <w:sz w:val="20"/>
          <w:szCs w:val="20"/>
        </w:rPr>
        <w:t>the candidate cells may be arranged in groups – similar to Timing Alignment Groups used for serving cells – so that a UE need not perform Early-TA for each individual candidate cells – but only once per group</w:t>
      </w:r>
      <w:r w:rsidR="0049358A">
        <w:rPr>
          <w:rFonts w:ascii="Garamond" w:hAnsi="Garamond"/>
          <w:sz w:val="20"/>
          <w:szCs w:val="20"/>
        </w:rPr>
        <w:t>.</w:t>
      </w:r>
    </w:p>
    <w:p w14:paraId="09242D0A" w14:textId="77777777" w:rsidR="001676A5" w:rsidRDefault="001676A5" w:rsidP="0014437B">
      <w:pPr>
        <w:rPr>
          <w:rFonts w:ascii="Garamond" w:hAnsi="Garamond"/>
          <w:sz w:val="20"/>
          <w:szCs w:val="20"/>
        </w:rPr>
      </w:pPr>
      <w:r>
        <w:rPr>
          <w:rFonts w:ascii="Garamond" w:hAnsi="Garamond"/>
          <w:sz w:val="20"/>
          <w:szCs w:val="20"/>
        </w:rPr>
        <w:t>As another possibility, t</w:t>
      </w:r>
      <w:r w:rsidR="0014437B" w:rsidRPr="00280E9E">
        <w:rPr>
          <w:rFonts w:ascii="Garamond" w:hAnsi="Garamond"/>
          <w:sz w:val="20"/>
          <w:szCs w:val="20"/>
        </w:rPr>
        <w:t>wo radio thresholds for two corresponding measurement events are configured in reporting configuration: a first</w:t>
      </w:r>
      <w:r>
        <w:rPr>
          <w:rFonts w:ascii="Garamond" w:hAnsi="Garamond"/>
          <w:sz w:val="20"/>
          <w:szCs w:val="20"/>
        </w:rPr>
        <w:t xml:space="preserve"> threshold</w:t>
      </w:r>
      <w:r w:rsidR="0014437B" w:rsidRPr="00280E9E">
        <w:rPr>
          <w:rFonts w:ascii="Garamond" w:hAnsi="Garamond"/>
          <w:sz w:val="20"/>
          <w:szCs w:val="20"/>
        </w:rPr>
        <w:t xml:space="preserve"> for initiating Early TA, in addition to the legacy one which is used to trigger measurement reporting to gNB. The first threshold/ measurement event triggers the UE to initiate Early TA procedure with a cell fulfilling this threshold but may not trigger measurement reporting to the serving cell. But when the legacy threshold/ measurement event is (also) met/ triggered, UE initiates measurement reporting to the source cell, including also an indication confirming if an Early TA has been obtained for the corresponding reported cell. When the legacy threshold/ measurement event is met/ triggered, UE reports it immediately without waiting for the ongoing Early TA procedure, which may continue. </w:t>
      </w:r>
    </w:p>
    <w:p w14:paraId="259EFAD2" w14:textId="43ADB4FF" w:rsidR="00CE7E47" w:rsidRDefault="00CE7E47" w:rsidP="0014437B">
      <w:pPr>
        <w:rPr>
          <w:rFonts w:ascii="Garamond" w:hAnsi="Garamond"/>
          <w:sz w:val="20"/>
          <w:szCs w:val="20"/>
        </w:rPr>
      </w:pPr>
      <w:r>
        <w:rPr>
          <w:rFonts w:ascii="Garamond" w:hAnsi="Garamond"/>
          <w:sz w:val="20"/>
          <w:szCs w:val="20"/>
        </w:rPr>
        <w:t xml:space="preserve">Both the above possibilities have pros and cons. While the first one is simpler to implement, the second one is more radio aware. </w:t>
      </w:r>
      <w:r w:rsidR="00186728">
        <w:rPr>
          <w:rFonts w:ascii="Garamond" w:hAnsi="Garamond"/>
          <w:sz w:val="20"/>
          <w:szCs w:val="20"/>
        </w:rPr>
        <w:t>So</w:t>
      </w:r>
      <w:r>
        <w:rPr>
          <w:rFonts w:ascii="Garamond" w:hAnsi="Garamond"/>
          <w:sz w:val="20"/>
          <w:szCs w:val="20"/>
        </w:rPr>
        <w:t>, this topic can benefit from further discussions.</w:t>
      </w:r>
    </w:p>
    <w:p w14:paraId="1588ADA1" w14:textId="17C3CB10" w:rsidR="003F1678" w:rsidRDefault="003F1678" w:rsidP="0014437B">
      <w:pPr>
        <w:rPr>
          <w:rFonts w:ascii="Garamond" w:hAnsi="Garamond"/>
          <w:sz w:val="20"/>
          <w:szCs w:val="20"/>
        </w:rPr>
      </w:pPr>
      <w:r>
        <w:rPr>
          <w:rFonts w:ascii="Garamond" w:hAnsi="Garamond"/>
          <w:sz w:val="20"/>
          <w:szCs w:val="20"/>
        </w:rPr>
        <w:t xml:space="preserve">It is generally understood that UE should indicate to the serving gNB when UE has acquired an early TA for a candidate cell. Such indication may be for example signalled within a MAC CE or as mentioned before together with measurement results in a RRC message. </w:t>
      </w:r>
    </w:p>
    <w:p w14:paraId="20EB0E68" w14:textId="2BFEB642" w:rsidR="00CE7E47" w:rsidRDefault="00CE7E47" w:rsidP="00CE7E47">
      <w:pPr>
        <w:pStyle w:val="Proposal"/>
        <w:rPr>
          <w:rFonts w:ascii="Garamond" w:hAnsi="Garamond"/>
        </w:rPr>
      </w:pPr>
      <w:r>
        <w:rPr>
          <w:rFonts w:ascii="Garamond" w:hAnsi="Garamond"/>
        </w:rPr>
        <w:t xml:space="preserve">RAN2 discuss means to shortlist candidate cells for the </w:t>
      </w:r>
      <w:r w:rsidRPr="00CE7E47">
        <w:rPr>
          <w:rFonts w:ascii="Garamond" w:hAnsi="Garamond"/>
        </w:rPr>
        <w:t>Early TA</w:t>
      </w:r>
      <w:r>
        <w:rPr>
          <w:rFonts w:ascii="Garamond" w:hAnsi="Garamond"/>
        </w:rPr>
        <w:t xml:space="preserve"> acquisition.</w:t>
      </w:r>
    </w:p>
    <w:p w14:paraId="65A2DC30" w14:textId="780CBECD" w:rsidR="003F1678" w:rsidRDefault="003F1678" w:rsidP="00CE7E47">
      <w:pPr>
        <w:pStyle w:val="Proposal"/>
        <w:rPr>
          <w:rFonts w:ascii="Garamond" w:hAnsi="Garamond"/>
        </w:rPr>
      </w:pPr>
      <w:bookmarkStart w:id="4" w:name="_Hlk118269482"/>
      <w:r>
        <w:rPr>
          <w:rFonts w:ascii="Garamond" w:hAnsi="Garamond"/>
        </w:rPr>
        <w:t>UE indicates to the current serving gNB</w:t>
      </w:r>
      <w:r w:rsidR="00FB4709">
        <w:rPr>
          <w:rFonts w:ascii="Garamond" w:hAnsi="Garamond"/>
        </w:rPr>
        <w:t xml:space="preserve"> </w:t>
      </w:r>
      <w:r w:rsidR="008C188E">
        <w:rPr>
          <w:rFonts w:ascii="Garamond" w:hAnsi="Garamond"/>
        </w:rPr>
        <w:t>(DU)</w:t>
      </w:r>
      <w:r>
        <w:rPr>
          <w:rFonts w:ascii="Garamond" w:hAnsi="Garamond"/>
        </w:rPr>
        <w:t xml:space="preserve"> if an early TA has been acquired </w:t>
      </w:r>
      <w:r w:rsidR="00D76BD9">
        <w:rPr>
          <w:rFonts w:ascii="Garamond" w:hAnsi="Garamond"/>
        </w:rPr>
        <w:t xml:space="preserve">(or fails to acquire) </w:t>
      </w:r>
      <w:r>
        <w:rPr>
          <w:rFonts w:ascii="Garamond" w:hAnsi="Garamond"/>
        </w:rPr>
        <w:t xml:space="preserve">for a candidate cell. </w:t>
      </w:r>
    </w:p>
    <w:bookmarkEnd w:id="4"/>
    <w:p w14:paraId="71D3518A" w14:textId="7ABD9DED" w:rsidR="00E77E4A" w:rsidRPr="00E77E4A" w:rsidRDefault="00E77E4A" w:rsidP="00E77E4A">
      <w:pPr>
        <w:pStyle w:val="Proposal"/>
        <w:rPr>
          <w:rFonts w:ascii="Garamond" w:hAnsi="Garamond"/>
        </w:rPr>
      </w:pPr>
      <w:r>
        <w:rPr>
          <w:rFonts w:ascii="Garamond" w:hAnsi="Garamond"/>
        </w:rPr>
        <w:t>UE reports measurement results</w:t>
      </w:r>
      <w:r w:rsidRPr="00280E9E">
        <w:rPr>
          <w:rFonts w:ascii="Garamond" w:hAnsi="Garamond"/>
        </w:rPr>
        <w:t xml:space="preserve"> </w:t>
      </w:r>
      <w:r w:rsidR="003F1678">
        <w:rPr>
          <w:rFonts w:ascii="Garamond" w:hAnsi="Garamond"/>
        </w:rPr>
        <w:t>e.g.</w:t>
      </w:r>
      <w:r w:rsidR="00BD1BA2">
        <w:rPr>
          <w:rFonts w:ascii="Garamond" w:hAnsi="Garamond"/>
        </w:rPr>
        <w:t>,</w:t>
      </w:r>
      <w:r w:rsidR="003F1678">
        <w:rPr>
          <w:rFonts w:ascii="Garamond" w:hAnsi="Garamond"/>
        </w:rPr>
        <w:t xml:space="preserve"> </w:t>
      </w:r>
      <w:r w:rsidRPr="00280E9E">
        <w:rPr>
          <w:rFonts w:ascii="Garamond" w:hAnsi="Garamond"/>
        </w:rPr>
        <w:t xml:space="preserve">including an indication confirming if an Early TA has been obtained </w:t>
      </w:r>
      <w:r w:rsidR="005B2F31">
        <w:rPr>
          <w:rFonts w:ascii="Garamond" w:hAnsi="Garamond"/>
        </w:rPr>
        <w:t xml:space="preserve">(or UE fails to obtain) </w:t>
      </w:r>
      <w:r w:rsidRPr="00280E9E">
        <w:rPr>
          <w:rFonts w:ascii="Garamond" w:hAnsi="Garamond"/>
        </w:rPr>
        <w:t>for the corresponding reported cell</w:t>
      </w:r>
      <w:r>
        <w:rPr>
          <w:rFonts w:ascii="Garamond" w:hAnsi="Garamond"/>
        </w:rPr>
        <w:t>.</w:t>
      </w:r>
    </w:p>
    <w:p w14:paraId="16875585" w14:textId="4D51D7D7" w:rsidR="000175BB" w:rsidRDefault="000175BB" w:rsidP="0014437B">
      <w:pPr>
        <w:rPr>
          <w:rFonts w:ascii="Garamond" w:hAnsi="Garamond"/>
          <w:sz w:val="20"/>
          <w:szCs w:val="20"/>
        </w:rPr>
      </w:pPr>
    </w:p>
    <w:p w14:paraId="57D22154" w14:textId="458A78F9" w:rsidR="003F1678" w:rsidRPr="008522EB" w:rsidRDefault="003F1678" w:rsidP="0014437B">
      <w:pPr>
        <w:rPr>
          <w:rFonts w:ascii="Garamond" w:hAnsi="Garamond"/>
          <w:b/>
          <w:bCs/>
          <w:sz w:val="20"/>
          <w:szCs w:val="20"/>
        </w:rPr>
      </w:pPr>
      <w:r>
        <w:rPr>
          <w:rFonts w:ascii="Garamond" w:hAnsi="Garamond"/>
          <w:sz w:val="20"/>
          <w:szCs w:val="20"/>
        </w:rPr>
        <w:t xml:space="preserve">RAN2 should further </w:t>
      </w:r>
      <w:r w:rsidR="00B861D8">
        <w:rPr>
          <w:rFonts w:ascii="Garamond" w:hAnsi="Garamond"/>
          <w:sz w:val="20"/>
          <w:szCs w:val="20"/>
        </w:rPr>
        <w:t>investigate</w:t>
      </w:r>
      <w:r>
        <w:rPr>
          <w:rFonts w:ascii="Garamond" w:hAnsi="Garamond"/>
          <w:sz w:val="20"/>
          <w:szCs w:val="20"/>
        </w:rPr>
        <w:t xml:space="preserve"> the RACH procedure itself which is initiated for the acquisition of an early TA on a candidate cell. </w:t>
      </w:r>
      <w:r w:rsidR="00B861D8">
        <w:rPr>
          <w:rFonts w:ascii="Garamond" w:hAnsi="Garamond"/>
          <w:sz w:val="20"/>
          <w:szCs w:val="20"/>
        </w:rPr>
        <w:t>Different to the legacy RACH procedure, e.g.</w:t>
      </w:r>
      <w:r w:rsidR="00BD0119">
        <w:rPr>
          <w:rFonts w:ascii="Garamond" w:hAnsi="Garamond"/>
          <w:sz w:val="20"/>
          <w:szCs w:val="20"/>
        </w:rPr>
        <w:t>,</w:t>
      </w:r>
      <w:r w:rsidR="00B861D8">
        <w:rPr>
          <w:rFonts w:ascii="Garamond" w:hAnsi="Garamond"/>
          <w:sz w:val="20"/>
          <w:szCs w:val="20"/>
        </w:rPr>
        <w:t xml:space="preserve"> performed in the target cell at Handover, UE should not establish a connection to the target cell, but only obtain uplink timing synchronization. </w:t>
      </w:r>
      <w:r w:rsidR="006A448B">
        <w:rPr>
          <w:rFonts w:ascii="Garamond" w:hAnsi="Garamond"/>
          <w:sz w:val="20"/>
          <w:szCs w:val="20"/>
        </w:rPr>
        <w:t xml:space="preserve">Therefore, some changes to the current specified RACH procedure will be required. For example, </w:t>
      </w:r>
      <w:r w:rsidR="00B861D8">
        <w:rPr>
          <w:rFonts w:ascii="Garamond" w:hAnsi="Garamond"/>
          <w:sz w:val="20"/>
          <w:szCs w:val="20"/>
        </w:rPr>
        <w:t xml:space="preserve">the content of the RACH message 3 of a </w:t>
      </w:r>
      <w:r w:rsidR="006A448B">
        <w:rPr>
          <w:rFonts w:ascii="Garamond" w:hAnsi="Garamond"/>
          <w:sz w:val="20"/>
          <w:szCs w:val="20"/>
        </w:rPr>
        <w:t xml:space="preserve">contention-based </w:t>
      </w:r>
      <w:r w:rsidR="00B861D8">
        <w:rPr>
          <w:rFonts w:ascii="Garamond" w:hAnsi="Garamond"/>
          <w:sz w:val="20"/>
          <w:szCs w:val="20"/>
        </w:rPr>
        <w:t xml:space="preserve">RACH procedure initiated to acquire early timing synchronization with a candidate cell may be different compared </w:t>
      </w:r>
      <w:r w:rsidR="00BD0119">
        <w:rPr>
          <w:rFonts w:ascii="Garamond" w:hAnsi="Garamond"/>
          <w:sz w:val="20"/>
          <w:szCs w:val="20"/>
        </w:rPr>
        <w:t>with</w:t>
      </w:r>
      <w:r w:rsidR="00B861D8">
        <w:rPr>
          <w:rFonts w:ascii="Garamond" w:hAnsi="Garamond"/>
          <w:sz w:val="20"/>
          <w:szCs w:val="20"/>
        </w:rPr>
        <w:t xml:space="preserve"> the legacy RACH procedure, e.g.</w:t>
      </w:r>
      <w:r w:rsidR="00BD0119">
        <w:rPr>
          <w:rFonts w:ascii="Garamond" w:hAnsi="Garamond"/>
          <w:sz w:val="20"/>
          <w:szCs w:val="20"/>
        </w:rPr>
        <w:t>,</w:t>
      </w:r>
      <w:r w:rsidR="00B861D8">
        <w:rPr>
          <w:rFonts w:ascii="Garamond" w:hAnsi="Garamond"/>
          <w:sz w:val="20"/>
          <w:szCs w:val="20"/>
        </w:rPr>
        <w:t xml:space="preserve"> RACH Msg3 including the handover complete message. In general</w:t>
      </w:r>
      <w:r w:rsidR="00BD0119">
        <w:rPr>
          <w:rFonts w:ascii="Garamond" w:hAnsi="Garamond"/>
          <w:sz w:val="20"/>
          <w:szCs w:val="20"/>
        </w:rPr>
        <w:t>,</w:t>
      </w:r>
      <w:r w:rsidR="00B861D8">
        <w:rPr>
          <w:rFonts w:ascii="Garamond" w:hAnsi="Garamond"/>
          <w:sz w:val="20"/>
          <w:szCs w:val="20"/>
        </w:rPr>
        <w:t xml:space="preserve"> the candidate cell should be aware of that a Random Access procedure is made for the purpose of early TA acquisition. Therefore</w:t>
      </w:r>
      <w:r w:rsidR="00BD0119">
        <w:rPr>
          <w:rFonts w:ascii="Garamond" w:hAnsi="Garamond"/>
          <w:sz w:val="20"/>
          <w:szCs w:val="20"/>
        </w:rPr>
        <w:t>,</w:t>
      </w:r>
      <w:r w:rsidR="00B861D8">
        <w:rPr>
          <w:rFonts w:ascii="Garamond" w:hAnsi="Garamond"/>
          <w:sz w:val="20"/>
          <w:szCs w:val="20"/>
        </w:rPr>
        <w:t xml:space="preserve"> some discussion of an early identification of a TA acquisition RACH procedure should be further discussed in RAN2. </w:t>
      </w:r>
    </w:p>
    <w:p w14:paraId="34DBDEA9" w14:textId="5E664F30" w:rsidR="00B861D8" w:rsidRPr="008522EB" w:rsidRDefault="00B861D8" w:rsidP="008522EB">
      <w:pPr>
        <w:pStyle w:val="Proposal"/>
        <w:rPr>
          <w:rFonts w:ascii="Garamond" w:hAnsi="Garamond"/>
        </w:rPr>
      </w:pPr>
      <w:r w:rsidRPr="008522EB">
        <w:rPr>
          <w:rFonts w:ascii="Garamond" w:hAnsi="Garamond"/>
        </w:rPr>
        <w:t>RAN2 to discuss further the details of the RACH procedure initiated to acquire an early TA on a candidate cell, e.g.</w:t>
      </w:r>
      <w:r w:rsidR="00BD0119" w:rsidRPr="008522EB">
        <w:rPr>
          <w:rFonts w:ascii="Garamond" w:hAnsi="Garamond"/>
        </w:rPr>
        <w:t>,</w:t>
      </w:r>
      <w:r w:rsidRPr="008522EB">
        <w:rPr>
          <w:rFonts w:ascii="Garamond" w:hAnsi="Garamond"/>
        </w:rPr>
        <w:t xml:space="preserve"> identification </w:t>
      </w:r>
      <w:r w:rsidR="002C1DFE" w:rsidRPr="008522EB">
        <w:rPr>
          <w:rFonts w:ascii="Garamond" w:hAnsi="Garamond"/>
        </w:rPr>
        <w:t xml:space="preserve">that RACH is performed for </w:t>
      </w:r>
      <w:r w:rsidR="006A448B" w:rsidRPr="008522EB">
        <w:rPr>
          <w:rFonts w:ascii="Garamond" w:hAnsi="Garamond"/>
        </w:rPr>
        <w:t xml:space="preserve">early TA </w:t>
      </w:r>
      <w:r w:rsidR="002C1DFE" w:rsidRPr="008522EB">
        <w:rPr>
          <w:rFonts w:ascii="Garamond" w:hAnsi="Garamond"/>
        </w:rPr>
        <w:t>acquisition</w:t>
      </w:r>
      <w:r w:rsidR="006A448B" w:rsidRPr="008522EB">
        <w:rPr>
          <w:rFonts w:ascii="Garamond" w:hAnsi="Garamond"/>
        </w:rPr>
        <w:t xml:space="preserve"> </w:t>
      </w:r>
      <w:r w:rsidR="00D03D47" w:rsidRPr="008522EB">
        <w:rPr>
          <w:rFonts w:ascii="Garamond" w:hAnsi="Garamond"/>
        </w:rPr>
        <w:t xml:space="preserve">(or for legacy purpose) </w:t>
      </w:r>
      <w:r w:rsidR="006A448B" w:rsidRPr="008522EB">
        <w:rPr>
          <w:rFonts w:ascii="Garamond" w:hAnsi="Garamond"/>
        </w:rPr>
        <w:t xml:space="preserve">and content of RACH msg3. </w:t>
      </w:r>
    </w:p>
    <w:p w14:paraId="58F7DAA9" w14:textId="77777777" w:rsidR="00475DF5" w:rsidRDefault="00475DF5" w:rsidP="0014437B">
      <w:pPr>
        <w:rPr>
          <w:rFonts w:ascii="Garamond" w:hAnsi="Garamond"/>
          <w:b/>
          <w:bCs/>
          <w:sz w:val="20"/>
          <w:szCs w:val="20"/>
          <w:u w:val="single"/>
        </w:rPr>
      </w:pPr>
    </w:p>
    <w:p w14:paraId="2548FA13" w14:textId="77777777" w:rsidR="00DF7AB6" w:rsidRDefault="00DF7AB6">
      <w:pPr>
        <w:rPr>
          <w:rFonts w:ascii="Garamond" w:hAnsi="Garamond"/>
          <w:b/>
          <w:bCs/>
          <w:u w:val="single"/>
        </w:rPr>
      </w:pPr>
      <w:r>
        <w:rPr>
          <w:rFonts w:ascii="Garamond" w:hAnsi="Garamond"/>
          <w:b/>
          <w:bCs/>
          <w:u w:val="single"/>
        </w:rPr>
        <w:br w:type="page"/>
      </w:r>
    </w:p>
    <w:p w14:paraId="3D185405" w14:textId="5BECC4DB" w:rsidR="00733518" w:rsidRDefault="00761D1B" w:rsidP="0014437B">
      <w:pPr>
        <w:rPr>
          <w:rFonts w:ascii="Garamond" w:hAnsi="Garamond"/>
        </w:rPr>
      </w:pPr>
      <w:r w:rsidRPr="00733518">
        <w:rPr>
          <w:rFonts w:ascii="Garamond" w:hAnsi="Garamond"/>
          <w:b/>
          <w:bCs/>
          <w:u w:val="single"/>
        </w:rPr>
        <w:lastRenderedPageBreak/>
        <w:t>PUSCH opportunity and RAN3 involvement:</w:t>
      </w:r>
      <w:r w:rsidRPr="00733518">
        <w:rPr>
          <w:rFonts w:ascii="Garamond" w:hAnsi="Garamond"/>
        </w:rPr>
        <w:t xml:space="preserve"> </w:t>
      </w:r>
    </w:p>
    <w:p w14:paraId="180BD3CC" w14:textId="25B59297" w:rsidR="00D27132" w:rsidRDefault="00E62A98" w:rsidP="0014437B">
      <w:pPr>
        <w:rPr>
          <w:rFonts w:ascii="Garamond" w:hAnsi="Garamond"/>
          <w:sz w:val="20"/>
          <w:szCs w:val="20"/>
        </w:rPr>
      </w:pPr>
      <w:r>
        <w:rPr>
          <w:rFonts w:ascii="Garamond" w:hAnsi="Garamond"/>
          <w:sz w:val="20"/>
          <w:szCs w:val="20"/>
        </w:rPr>
        <w:t xml:space="preserve">This can be modelled similar to that in LTE. </w:t>
      </w:r>
      <w:r w:rsidR="00B2191F">
        <w:rPr>
          <w:rFonts w:ascii="Garamond" w:hAnsi="Garamond"/>
          <w:sz w:val="20"/>
          <w:szCs w:val="20"/>
        </w:rPr>
        <w:t>Up on receiving measurement results</w:t>
      </w:r>
      <w:r w:rsidR="0014437B" w:rsidRPr="00280E9E">
        <w:rPr>
          <w:rFonts w:ascii="Garamond" w:hAnsi="Garamond"/>
          <w:sz w:val="20"/>
          <w:szCs w:val="20"/>
        </w:rPr>
        <w:t xml:space="preserve">, and having determined </w:t>
      </w:r>
      <w:r w:rsidR="00B2191F">
        <w:rPr>
          <w:rFonts w:ascii="Garamond" w:hAnsi="Garamond"/>
          <w:sz w:val="20"/>
          <w:szCs w:val="20"/>
        </w:rPr>
        <w:t xml:space="preserve">a </w:t>
      </w:r>
      <w:r w:rsidR="0014437B" w:rsidRPr="00280E9E">
        <w:rPr>
          <w:rFonts w:ascii="Garamond" w:hAnsi="Garamond"/>
          <w:sz w:val="20"/>
          <w:szCs w:val="20"/>
        </w:rPr>
        <w:t>target cell, the serving</w:t>
      </w:r>
      <w:r w:rsidR="00B2191F">
        <w:rPr>
          <w:rFonts w:ascii="Garamond" w:hAnsi="Garamond"/>
          <w:sz w:val="20"/>
          <w:szCs w:val="20"/>
        </w:rPr>
        <w:t xml:space="preserve"> </w:t>
      </w:r>
      <w:r w:rsidR="0014437B" w:rsidRPr="00280E9E">
        <w:rPr>
          <w:rFonts w:ascii="Garamond" w:hAnsi="Garamond"/>
          <w:sz w:val="20"/>
          <w:szCs w:val="20"/>
        </w:rPr>
        <w:t>cell/ source DU informs concerned target cell/ DU</w:t>
      </w:r>
      <w:r w:rsidR="00B2191F">
        <w:rPr>
          <w:rFonts w:ascii="Garamond" w:hAnsi="Garamond"/>
          <w:sz w:val="20"/>
          <w:szCs w:val="20"/>
        </w:rPr>
        <w:t>/ CU</w:t>
      </w:r>
      <w:r w:rsidR="0014437B" w:rsidRPr="00280E9E">
        <w:rPr>
          <w:rFonts w:ascii="Garamond" w:hAnsi="Garamond"/>
          <w:sz w:val="20"/>
          <w:szCs w:val="20"/>
        </w:rPr>
        <w:t xml:space="preserve"> confirming UE mobility (Mobility-</w:t>
      </w:r>
      <w:r w:rsidR="0014437B" w:rsidRPr="00B2191F">
        <w:rPr>
          <w:rFonts w:ascii="Garamond" w:hAnsi="Garamond"/>
          <w:sz w:val="20"/>
          <w:szCs w:val="20"/>
        </w:rPr>
        <w:t>Confirmation</w:t>
      </w:r>
      <w:r w:rsidR="00B2191F" w:rsidRPr="00B2191F">
        <w:rPr>
          <w:rFonts w:ascii="Garamond" w:hAnsi="Garamond"/>
          <w:sz w:val="20"/>
          <w:szCs w:val="20"/>
        </w:rPr>
        <w:t xml:space="preserve"> in </w:t>
      </w:r>
      <w:r w:rsidR="00B2191F" w:rsidRPr="00B2191F">
        <w:rPr>
          <w:rFonts w:ascii="Garamond" w:hAnsi="Garamond"/>
          <w:sz w:val="20"/>
          <w:szCs w:val="20"/>
        </w:rPr>
        <w:fldChar w:fldCharType="begin"/>
      </w:r>
      <w:r w:rsidR="00B2191F" w:rsidRPr="00B2191F">
        <w:rPr>
          <w:rFonts w:ascii="Garamond" w:hAnsi="Garamond"/>
          <w:sz w:val="20"/>
          <w:szCs w:val="20"/>
        </w:rPr>
        <w:instrText xml:space="preserve"> REF _Ref117850626 \h </w:instrText>
      </w:r>
      <w:r w:rsidR="00B2191F">
        <w:rPr>
          <w:rFonts w:ascii="Garamond" w:hAnsi="Garamond"/>
          <w:sz w:val="20"/>
          <w:szCs w:val="20"/>
        </w:rPr>
        <w:instrText xml:space="preserve"> \* MERGEFORMAT </w:instrText>
      </w:r>
      <w:r w:rsidR="00B2191F" w:rsidRPr="00B2191F">
        <w:rPr>
          <w:rFonts w:ascii="Garamond" w:hAnsi="Garamond"/>
          <w:sz w:val="20"/>
          <w:szCs w:val="20"/>
        </w:rPr>
      </w:r>
      <w:r w:rsidR="00B2191F" w:rsidRPr="00B2191F">
        <w:rPr>
          <w:rFonts w:ascii="Garamond" w:hAnsi="Garamond"/>
          <w:sz w:val="20"/>
          <w:szCs w:val="20"/>
        </w:rPr>
        <w:fldChar w:fldCharType="separate"/>
      </w:r>
      <w:r w:rsidR="00081570" w:rsidRPr="00081570">
        <w:rPr>
          <w:rFonts w:ascii="Garamond" w:hAnsi="Garamond"/>
        </w:rPr>
        <w:t xml:space="preserve">Figure </w:t>
      </w:r>
      <w:r w:rsidR="00081570" w:rsidRPr="00081570">
        <w:rPr>
          <w:rFonts w:ascii="Garamond" w:hAnsi="Garamond"/>
          <w:noProof/>
        </w:rPr>
        <w:t>2</w:t>
      </w:r>
      <w:r w:rsidR="00B2191F" w:rsidRPr="00B2191F">
        <w:rPr>
          <w:rFonts w:ascii="Garamond" w:hAnsi="Garamond"/>
          <w:sz w:val="20"/>
          <w:szCs w:val="20"/>
        </w:rPr>
        <w:fldChar w:fldCharType="end"/>
      </w:r>
      <w:r w:rsidR="0014437B" w:rsidRPr="00280E9E">
        <w:rPr>
          <w:rFonts w:ascii="Garamond" w:hAnsi="Garamond"/>
          <w:sz w:val="20"/>
          <w:szCs w:val="20"/>
        </w:rPr>
        <w:t>) towards it. Target cell may send an acknowledgement for the said Mobility-Confirmation including information about PUSCH resource</w:t>
      </w:r>
      <w:r w:rsidR="00BD0119">
        <w:rPr>
          <w:rFonts w:ascii="Garamond" w:hAnsi="Garamond"/>
          <w:sz w:val="20"/>
          <w:szCs w:val="20"/>
        </w:rPr>
        <w:t xml:space="preserve"> used by the UE in the target cell to announce its arrival</w:t>
      </w:r>
      <w:r w:rsidR="0014437B" w:rsidRPr="00280E9E">
        <w:rPr>
          <w:rFonts w:ascii="Garamond" w:hAnsi="Garamond"/>
          <w:sz w:val="20"/>
          <w:szCs w:val="20"/>
        </w:rPr>
        <w:t>, if necessary</w:t>
      </w:r>
      <w:r w:rsidR="000132AB">
        <w:rPr>
          <w:rFonts w:ascii="Garamond" w:hAnsi="Garamond"/>
          <w:sz w:val="20"/>
          <w:szCs w:val="20"/>
        </w:rPr>
        <w:t xml:space="preserve"> e.g., if CG-PUSCH resources would be used</w:t>
      </w:r>
      <w:r w:rsidR="0014437B" w:rsidRPr="00280E9E">
        <w:rPr>
          <w:rFonts w:ascii="Garamond" w:hAnsi="Garamond"/>
          <w:sz w:val="20"/>
          <w:szCs w:val="20"/>
        </w:rPr>
        <w:t>.</w:t>
      </w:r>
      <w:r w:rsidR="0014437B" w:rsidRPr="00280E9E" w:rsidDel="00476FF4">
        <w:rPr>
          <w:rFonts w:ascii="Garamond" w:hAnsi="Garamond"/>
          <w:sz w:val="20"/>
          <w:szCs w:val="20"/>
        </w:rPr>
        <w:t xml:space="preserve"> </w:t>
      </w:r>
      <w:r w:rsidR="0014437B" w:rsidRPr="00280E9E">
        <w:rPr>
          <w:rFonts w:ascii="Garamond" w:hAnsi="Garamond"/>
          <w:sz w:val="20"/>
          <w:szCs w:val="20"/>
        </w:rPr>
        <w:t xml:space="preserve">At this point (or even earlier), having determined </w:t>
      </w:r>
      <w:r w:rsidR="000132AB">
        <w:rPr>
          <w:rFonts w:ascii="Garamond" w:hAnsi="Garamond"/>
          <w:sz w:val="20"/>
          <w:szCs w:val="20"/>
        </w:rPr>
        <w:t xml:space="preserve">the </w:t>
      </w:r>
      <w:r w:rsidR="0014437B" w:rsidRPr="00280E9E">
        <w:rPr>
          <w:rFonts w:ascii="Garamond" w:hAnsi="Garamond"/>
          <w:sz w:val="20"/>
          <w:szCs w:val="20"/>
        </w:rPr>
        <w:t xml:space="preserve">target cell, a cell switch command </w:t>
      </w:r>
      <w:r w:rsidR="000132AB">
        <w:rPr>
          <w:rFonts w:ascii="Garamond" w:hAnsi="Garamond"/>
          <w:sz w:val="20"/>
          <w:szCs w:val="20"/>
        </w:rPr>
        <w:t xml:space="preserve">(LTM) </w:t>
      </w:r>
      <w:r w:rsidR="0014437B" w:rsidRPr="00280E9E">
        <w:rPr>
          <w:rFonts w:ascii="Garamond" w:hAnsi="Garamond"/>
          <w:sz w:val="20"/>
          <w:szCs w:val="20"/>
        </w:rPr>
        <w:t xml:space="preserve">is sent to the UE. </w:t>
      </w:r>
      <w:r w:rsidR="000132AB">
        <w:rPr>
          <w:rFonts w:ascii="Garamond" w:hAnsi="Garamond"/>
          <w:sz w:val="20"/>
          <w:szCs w:val="20"/>
        </w:rPr>
        <w:t xml:space="preserve">As R2 agreed previously, </w:t>
      </w:r>
      <w:r w:rsidR="0014437B" w:rsidRPr="00280E9E">
        <w:rPr>
          <w:rFonts w:ascii="Garamond" w:hAnsi="Garamond"/>
          <w:sz w:val="20"/>
          <w:szCs w:val="20"/>
        </w:rPr>
        <w:t>LTM is conveyed in a MAC CE</w:t>
      </w:r>
      <w:r w:rsidR="000132AB">
        <w:rPr>
          <w:rFonts w:ascii="Garamond" w:hAnsi="Garamond"/>
          <w:sz w:val="20"/>
          <w:szCs w:val="20"/>
        </w:rPr>
        <w:t>;</w:t>
      </w:r>
      <w:r w:rsidR="0014437B" w:rsidRPr="00280E9E">
        <w:rPr>
          <w:rFonts w:ascii="Garamond" w:hAnsi="Garamond"/>
          <w:sz w:val="20"/>
          <w:szCs w:val="20"/>
        </w:rPr>
        <w:t xml:space="preserve"> </w:t>
      </w:r>
      <w:r w:rsidR="000132AB">
        <w:rPr>
          <w:rFonts w:ascii="Garamond" w:hAnsi="Garamond"/>
          <w:sz w:val="20"/>
          <w:szCs w:val="20"/>
        </w:rPr>
        <w:t>a</w:t>
      </w:r>
      <w:r w:rsidR="0014437B" w:rsidRPr="00280E9E">
        <w:rPr>
          <w:rFonts w:ascii="Garamond" w:hAnsi="Garamond"/>
          <w:sz w:val="20"/>
          <w:szCs w:val="20"/>
        </w:rPr>
        <w:t xml:space="preserve">lternatively, a combination of MAC CE and DCI may be used. It contains at least one candidate configuration index, based on the index used in the first-RRC-Reconfiguration message. </w:t>
      </w:r>
    </w:p>
    <w:p w14:paraId="70C9FC39" w14:textId="77777777" w:rsidR="002C7BE8" w:rsidRPr="002C7BE8" w:rsidRDefault="000132AB" w:rsidP="002C7BE8">
      <w:pPr>
        <w:rPr>
          <w:rFonts w:ascii="Garamond" w:hAnsi="Garamond"/>
          <w:sz w:val="20"/>
          <w:szCs w:val="20"/>
        </w:rPr>
      </w:pPr>
      <w:r>
        <w:rPr>
          <w:rFonts w:ascii="Garamond" w:hAnsi="Garamond"/>
          <w:sz w:val="20"/>
          <w:szCs w:val="20"/>
        </w:rPr>
        <w:t>T</w:t>
      </w:r>
      <w:r w:rsidR="0014437B" w:rsidRPr="00280E9E">
        <w:rPr>
          <w:rFonts w:ascii="Garamond" w:hAnsi="Garamond"/>
          <w:sz w:val="20"/>
          <w:szCs w:val="20"/>
        </w:rPr>
        <w:t xml:space="preserve">he PUSCH resource(s) </w:t>
      </w:r>
      <w:r w:rsidR="008904AD" w:rsidRPr="00280E9E">
        <w:rPr>
          <w:rFonts w:ascii="Garamond" w:hAnsi="Garamond"/>
          <w:sz w:val="20"/>
          <w:szCs w:val="20"/>
        </w:rPr>
        <w:t>can also be</w:t>
      </w:r>
      <w:r>
        <w:rPr>
          <w:rFonts w:ascii="Garamond" w:hAnsi="Garamond"/>
          <w:sz w:val="20"/>
          <w:szCs w:val="20"/>
        </w:rPr>
        <w:t xml:space="preserve"> </w:t>
      </w:r>
      <w:r w:rsidR="0014437B" w:rsidRPr="00280E9E">
        <w:rPr>
          <w:rFonts w:ascii="Garamond" w:hAnsi="Garamond"/>
          <w:sz w:val="20"/>
          <w:szCs w:val="20"/>
        </w:rPr>
        <w:t xml:space="preserve">provided using a DCI from the target cell. </w:t>
      </w:r>
      <w:r w:rsidR="002C7BE8" w:rsidRPr="002C7BE8">
        <w:rPr>
          <w:rFonts w:ascii="Garamond" w:hAnsi="Garamond"/>
          <w:sz w:val="20"/>
          <w:szCs w:val="20"/>
        </w:rPr>
        <w:t xml:space="preserve">UE starts a T304-like timer upon reception of LTM. The T304-like timer should be generally shorter, than the T304 timer in legacy L3 based mobility since/ if the UE maintains DL Sync and a valid Early TA is available, UE should be able to quickly announce its arrival on the target cell. </w:t>
      </w:r>
    </w:p>
    <w:p w14:paraId="0FDE17BD" w14:textId="77777777" w:rsidR="002C7BE8" w:rsidRDefault="002C7BE8" w:rsidP="002C7BE8">
      <w:pPr>
        <w:keepNext/>
        <w:spacing w:after="0"/>
        <w:jc w:val="center"/>
      </w:pPr>
      <w:r>
        <w:object w:dxaOrig="14386" w:dyaOrig="6016" w14:anchorId="225D4FC5">
          <v:shape id="_x0000_i1026" type="#_x0000_t75" style="width:418.05pt;height:174.65pt" o:ole="">
            <v:imagedata r:id="rId11" o:title=""/>
          </v:shape>
          <o:OLEObject Type="Embed" ProgID="Visio.Drawing.15" ShapeID="_x0000_i1026" DrawAspect="Content" ObjectID="_1728986535" r:id="rId12"/>
        </w:object>
      </w:r>
    </w:p>
    <w:p w14:paraId="5641590B" w14:textId="5B149467" w:rsidR="002C7BE8" w:rsidRDefault="002C7BE8" w:rsidP="002C7BE8">
      <w:pPr>
        <w:pStyle w:val="Caption"/>
        <w:jc w:val="center"/>
      </w:pPr>
      <w:bookmarkStart w:id="5" w:name="_Ref117855244"/>
      <w:r>
        <w:t xml:space="preserve">Figure </w:t>
      </w:r>
      <w:r>
        <w:fldChar w:fldCharType="begin"/>
      </w:r>
      <w:r>
        <w:instrText xml:space="preserve"> SEQ Figure \* ARABIC </w:instrText>
      </w:r>
      <w:r>
        <w:fldChar w:fldCharType="separate"/>
      </w:r>
      <w:r w:rsidR="00081570">
        <w:rPr>
          <w:noProof/>
        </w:rPr>
        <w:t>3</w:t>
      </w:r>
      <w:r>
        <w:fldChar w:fldCharType="end"/>
      </w:r>
      <w:bookmarkEnd w:id="5"/>
      <w:r>
        <w:t>: Mobility from source to target cell under DUs in an intra-CU situation</w:t>
      </w:r>
    </w:p>
    <w:p w14:paraId="688ACD1A" w14:textId="47DEBE20" w:rsidR="0014437B" w:rsidRDefault="006D1347" w:rsidP="002C7BE8">
      <w:pPr>
        <w:rPr>
          <w:rFonts w:ascii="Garamond" w:hAnsi="Garamond"/>
          <w:sz w:val="20"/>
          <w:szCs w:val="20"/>
        </w:rPr>
      </w:pPr>
      <w:r>
        <w:rPr>
          <w:rFonts w:ascii="Garamond" w:hAnsi="Garamond"/>
          <w:sz w:val="20"/>
          <w:szCs w:val="20"/>
          <w:lang w:val="en-GB"/>
        </w:rPr>
        <w:t xml:space="preserve">The </w:t>
      </w:r>
      <w:r w:rsidR="002C7BE8" w:rsidRPr="006D1347">
        <w:rPr>
          <w:rFonts w:ascii="Garamond" w:hAnsi="Garamond"/>
          <w:sz w:val="20"/>
          <w:szCs w:val="20"/>
        </w:rPr>
        <w:t xml:space="preserve">arrival-announcement </w:t>
      </w:r>
      <w:r>
        <w:rPr>
          <w:rFonts w:ascii="Garamond" w:hAnsi="Garamond"/>
          <w:sz w:val="20"/>
          <w:szCs w:val="20"/>
        </w:rPr>
        <w:t xml:space="preserve">can be </w:t>
      </w:r>
      <w:r w:rsidR="002C7BE8" w:rsidRPr="006D1347">
        <w:rPr>
          <w:rFonts w:ascii="Garamond" w:hAnsi="Garamond"/>
          <w:sz w:val="20"/>
          <w:szCs w:val="20"/>
        </w:rPr>
        <w:t xml:space="preserve">done by sending a </w:t>
      </w:r>
      <w:r w:rsidR="00BB186F">
        <w:rPr>
          <w:rFonts w:ascii="Garamond" w:hAnsi="Garamond"/>
          <w:sz w:val="20"/>
          <w:szCs w:val="20"/>
        </w:rPr>
        <w:t xml:space="preserve">cell-switch </w:t>
      </w:r>
      <w:r w:rsidR="002C7BE8" w:rsidRPr="006D1347">
        <w:rPr>
          <w:rFonts w:ascii="Garamond" w:hAnsi="Garamond"/>
          <w:sz w:val="20"/>
          <w:szCs w:val="20"/>
        </w:rPr>
        <w:t xml:space="preserve">complete message using </w:t>
      </w:r>
      <w:r>
        <w:rPr>
          <w:rFonts w:ascii="Garamond" w:hAnsi="Garamond"/>
          <w:sz w:val="20"/>
          <w:szCs w:val="20"/>
        </w:rPr>
        <w:t>a</w:t>
      </w:r>
      <w:r w:rsidR="002C7BE8" w:rsidRPr="006D1347">
        <w:rPr>
          <w:rFonts w:ascii="Garamond" w:hAnsi="Garamond"/>
          <w:sz w:val="20"/>
          <w:szCs w:val="20"/>
        </w:rPr>
        <w:t xml:space="preserve"> MAC CE</w:t>
      </w:r>
      <w:r>
        <w:rPr>
          <w:rFonts w:ascii="Garamond" w:hAnsi="Garamond"/>
          <w:sz w:val="20"/>
          <w:szCs w:val="20"/>
        </w:rPr>
        <w:t>, to reduce the data interruption</w:t>
      </w:r>
      <w:r w:rsidR="00BB186F">
        <w:rPr>
          <w:rFonts w:ascii="Garamond" w:hAnsi="Garamond"/>
          <w:sz w:val="20"/>
          <w:szCs w:val="20"/>
        </w:rPr>
        <w:t xml:space="preserve">, data can be exchanged </w:t>
      </w:r>
      <w:r w:rsidR="00945E90">
        <w:rPr>
          <w:rFonts w:ascii="Garamond" w:hAnsi="Garamond"/>
          <w:sz w:val="20"/>
          <w:szCs w:val="20"/>
        </w:rPr>
        <w:t xml:space="preserve">only after </w:t>
      </w:r>
      <w:r w:rsidR="00BB186F">
        <w:rPr>
          <w:rFonts w:ascii="Garamond" w:hAnsi="Garamond"/>
          <w:sz w:val="20"/>
          <w:szCs w:val="20"/>
        </w:rPr>
        <w:t xml:space="preserve">the </w:t>
      </w:r>
      <w:r w:rsidR="00945E90">
        <w:rPr>
          <w:rFonts w:ascii="Garamond" w:hAnsi="Garamond"/>
          <w:sz w:val="20"/>
          <w:szCs w:val="20"/>
        </w:rPr>
        <w:t>cell-switch procedure is complete</w:t>
      </w:r>
      <w:r w:rsidR="002C7BE8" w:rsidRPr="006D1347">
        <w:rPr>
          <w:rFonts w:ascii="Garamond" w:hAnsi="Garamond"/>
          <w:sz w:val="20"/>
          <w:szCs w:val="20"/>
        </w:rPr>
        <w:t>. The PUSCH resource for the same can be provided to the UE by the target cell using a (first) Dynamic Grant. In an intra</w:t>
      </w:r>
      <w:r w:rsidR="00D01524">
        <w:rPr>
          <w:rFonts w:ascii="Garamond" w:hAnsi="Garamond"/>
          <w:sz w:val="20"/>
          <w:szCs w:val="20"/>
        </w:rPr>
        <w:t>-</w:t>
      </w:r>
      <w:r w:rsidR="002C7BE8" w:rsidRPr="006D1347">
        <w:rPr>
          <w:rFonts w:ascii="Garamond" w:hAnsi="Garamond"/>
          <w:sz w:val="20"/>
          <w:szCs w:val="20"/>
        </w:rPr>
        <w:t xml:space="preserve">CU scenario </w:t>
      </w:r>
      <w:r w:rsidR="00081570">
        <w:rPr>
          <w:rFonts w:ascii="Garamond" w:hAnsi="Garamond"/>
          <w:sz w:val="20"/>
          <w:szCs w:val="20"/>
        </w:rPr>
        <w:t xml:space="preserve">for Rel. 18, </w:t>
      </w:r>
      <w:r w:rsidR="002C7BE8" w:rsidRPr="006D1347">
        <w:rPr>
          <w:rFonts w:ascii="Garamond" w:hAnsi="Garamond"/>
          <w:sz w:val="20"/>
          <w:szCs w:val="20"/>
        </w:rPr>
        <w:t xml:space="preserve">both the source and target cell (as shown in </w:t>
      </w:r>
      <w:r w:rsidR="002C7BE8" w:rsidRPr="006D1347">
        <w:rPr>
          <w:rFonts w:ascii="Garamond" w:hAnsi="Garamond"/>
          <w:sz w:val="20"/>
          <w:szCs w:val="20"/>
        </w:rPr>
        <w:fldChar w:fldCharType="begin"/>
      </w:r>
      <w:r w:rsidR="002C7BE8" w:rsidRPr="006D1347">
        <w:rPr>
          <w:rFonts w:ascii="Garamond" w:hAnsi="Garamond"/>
          <w:sz w:val="20"/>
          <w:szCs w:val="20"/>
        </w:rPr>
        <w:instrText xml:space="preserve"> REF _Ref117855244 \h </w:instrText>
      </w:r>
      <w:r>
        <w:rPr>
          <w:rFonts w:ascii="Garamond" w:hAnsi="Garamond"/>
          <w:sz w:val="20"/>
          <w:szCs w:val="20"/>
        </w:rPr>
        <w:instrText xml:space="preserve"> \* MERGEFORMAT </w:instrText>
      </w:r>
      <w:r w:rsidR="002C7BE8" w:rsidRPr="006D1347">
        <w:rPr>
          <w:rFonts w:ascii="Garamond" w:hAnsi="Garamond"/>
          <w:sz w:val="20"/>
          <w:szCs w:val="20"/>
        </w:rPr>
      </w:r>
      <w:r w:rsidR="002C7BE8" w:rsidRPr="006D1347">
        <w:rPr>
          <w:rFonts w:ascii="Garamond" w:hAnsi="Garamond"/>
          <w:sz w:val="20"/>
          <w:szCs w:val="20"/>
        </w:rPr>
        <w:fldChar w:fldCharType="separate"/>
      </w:r>
      <w:r w:rsidR="00081570" w:rsidRPr="00081570">
        <w:rPr>
          <w:rFonts w:ascii="Garamond" w:hAnsi="Garamond"/>
          <w:sz w:val="20"/>
          <w:szCs w:val="20"/>
        </w:rPr>
        <w:t>Figure 3</w:t>
      </w:r>
      <w:r w:rsidR="002C7BE8" w:rsidRPr="006D1347">
        <w:rPr>
          <w:rFonts w:ascii="Garamond" w:hAnsi="Garamond"/>
          <w:sz w:val="20"/>
          <w:szCs w:val="20"/>
        </w:rPr>
        <w:fldChar w:fldCharType="end"/>
      </w:r>
      <w:r w:rsidR="002C7BE8" w:rsidRPr="006D1347">
        <w:rPr>
          <w:rFonts w:ascii="Garamond" w:hAnsi="Garamond"/>
          <w:sz w:val="20"/>
          <w:szCs w:val="20"/>
        </w:rPr>
        <w:t>) belong to the same centralized unit, therefore</w:t>
      </w:r>
      <w:r w:rsidR="00EC2656">
        <w:rPr>
          <w:rFonts w:ascii="Garamond" w:hAnsi="Garamond"/>
          <w:sz w:val="20"/>
          <w:szCs w:val="20"/>
        </w:rPr>
        <w:t xml:space="preserve"> </w:t>
      </w:r>
      <w:r w:rsidR="002C7BE8" w:rsidRPr="006D1347">
        <w:rPr>
          <w:rFonts w:ascii="Garamond" w:hAnsi="Garamond"/>
          <w:sz w:val="20"/>
          <w:szCs w:val="20"/>
        </w:rPr>
        <w:t xml:space="preserve">gNB </w:t>
      </w:r>
      <w:r w:rsidR="00D01524">
        <w:rPr>
          <w:rFonts w:ascii="Garamond" w:hAnsi="Garamond"/>
          <w:sz w:val="20"/>
          <w:szCs w:val="20"/>
        </w:rPr>
        <w:t xml:space="preserve">can </w:t>
      </w:r>
      <w:r w:rsidR="002C7BE8" w:rsidRPr="006D1347">
        <w:rPr>
          <w:rFonts w:ascii="Garamond" w:hAnsi="Garamond"/>
          <w:sz w:val="20"/>
          <w:szCs w:val="20"/>
        </w:rPr>
        <w:t xml:space="preserve">know accurately when the UE has received LTM successfully, enabling it to send the DCI for the said Dynamic Grant via the target cell. To this end, at least </w:t>
      </w:r>
      <w:r w:rsidR="002C7BE8" w:rsidRPr="00941707">
        <w:rPr>
          <w:rFonts w:ascii="Garamond" w:hAnsi="Garamond"/>
          <w:i/>
          <w:iCs/>
          <w:sz w:val="20"/>
          <w:szCs w:val="20"/>
        </w:rPr>
        <w:t>PDCCH-Config</w:t>
      </w:r>
      <w:r w:rsidR="002C7BE8" w:rsidRPr="006D1347">
        <w:rPr>
          <w:rFonts w:ascii="Garamond" w:hAnsi="Garamond"/>
          <w:sz w:val="20"/>
          <w:szCs w:val="20"/>
        </w:rPr>
        <w:t xml:space="preserve"> of the target cell, configured earlier using a first-RRC-Reconfiguration with some other information out of </w:t>
      </w:r>
      <w:r w:rsidR="002C7BE8" w:rsidRPr="000B3AE7">
        <w:rPr>
          <w:rFonts w:ascii="Garamond" w:hAnsi="Garamond"/>
          <w:i/>
          <w:iCs/>
          <w:sz w:val="20"/>
          <w:szCs w:val="20"/>
        </w:rPr>
        <w:t>ServingCellConfig</w:t>
      </w:r>
      <w:r w:rsidR="002C7BE8" w:rsidRPr="006D1347">
        <w:rPr>
          <w:rFonts w:ascii="Garamond" w:hAnsi="Garamond"/>
          <w:sz w:val="20"/>
          <w:szCs w:val="20"/>
        </w:rPr>
        <w:t xml:space="preserve"> is applied upon reception of LTM. As the UE may need some time to process LTM, refresh L1 synchronization including frequency and/ or BWP retuning, target cell </w:t>
      </w:r>
      <w:r w:rsidR="000B3AE7">
        <w:rPr>
          <w:rFonts w:ascii="Garamond" w:hAnsi="Garamond"/>
          <w:sz w:val="20"/>
          <w:szCs w:val="20"/>
        </w:rPr>
        <w:t xml:space="preserve">should </w:t>
      </w:r>
      <w:r w:rsidR="002C7BE8" w:rsidRPr="006D1347">
        <w:rPr>
          <w:rFonts w:ascii="Garamond" w:hAnsi="Garamond"/>
          <w:sz w:val="20"/>
          <w:szCs w:val="20"/>
        </w:rPr>
        <w:t xml:space="preserve">keep sending DCI PUSCH grants on many possible DL Beams, hoping that UE appears in the target </w:t>
      </w:r>
      <w:r w:rsidR="000B3AE7">
        <w:rPr>
          <w:rFonts w:ascii="Garamond" w:hAnsi="Garamond"/>
          <w:sz w:val="20"/>
          <w:szCs w:val="20"/>
        </w:rPr>
        <w:t xml:space="preserve">soon </w:t>
      </w:r>
      <w:r w:rsidR="002C7BE8" w:rsidRPr="006D1347">
        <w:rPr>
          <w:rFonts w:ascii="Garamond" w:hAnsi="Garamond"/>
          <w:sz w:val="20"/>
          <w:szCs w:val="20"/>
        </w:rPr>
        <w:t xml:space="preserve">until T304-like timer is running. </w:t>
      </w:r>
    </w:p>
    <w:p w14:paraId="3B697DA2" w14:textId="7B7D50D5" w:rsidR="00DF20A8" w:rsidRPr="00280E9E" w:rsidRDefault="00DF20A8" w:rsidP="00DF20A8">
      <w:pPr>
        <w:pStyle w:val="Proposal"/>
        <w:rPr>
          <w:rFonts w:ascii="Garamond" w:hAnsi="Garamond"/>
        </w:rPr>
      </w:pPr>
      <w:r>
        <w:rPr>
          <w:rFonts w:ascii="Garamond" w:hAnsi="Garamond"/>
        </w:rPr>
        <w:t xml:space="preserve">A T304-like timer is used to control the </w:t>
      </w:r>
      <w:r w:rsidR="00DF2F12">
        <w:rPr>
          <w:rFonts w:ascii="Garamond" w:hAnsi="Garamond"/>
        </w:rPr>
        <w:t>LTM based</w:t>
      </w:r>
      <w:r>
        <w:rPr>
          <w:rFonts w:ascii="Garamond" w:hAnsi="Garamond"/>
        </w:rPr>
        <w:t xml:space="preserve"> cell switch procedure</w:t>
      </w:r>
      <w:r w:rsidR="00DF2F12">
        <w:rPr>
          <w:rFonts w:ascii="Garamond" w:hAnsi="Garamond"/>
        </w:rPr>
        <w:t xml:space="preserve"> when Early TA for the target cell is available</w:t>
      </w:r>
      <w:r>
        <w:rPr>
          <w:rFonts w:ascii="Garamond" w:hAnsi="Garamond"/>
        </w:rPr>
        <w:t>.</w:t>
      </w:r>
    </w:p>
    <w:p w14:paraId="537CAE89" w14:textId="0B29A727" w:rsidR="001C317D" w:rsidRDefault="001C317D" w:rsidP="001C317D">
      <w:pPr>
        <w:pStyle w:val="Proposal"/>
        <w:rPr>
          <w:rFonts w:ascii="Garamond" w:hAnsi="Garamond"/>
        </w:rPr>
      </w:pPr>
      <w:r>
        <w:rPr>
          <w:rFonts w:ascii="Garamond" w:hAnsi="Garamond"/>
        </w:rPr>
        <w:t>Reception of LTM at the UE triggers PUSCH availability in the target cell, enabling the UE to announce its arrival and complete cell switch procedure.</w:t>
      </w:r>
    </w:p>
    <w:p w14:paraId="396D0679" w14:textId="77777777" w:rsidR="00666D5E" w:rsidRDefault="00666D5E" w:rsidP="00666D5E">
      <w:pPr>
        <w:pStyle w:val="Proposal"/>
        <w:rPr>
          <w:rFonts w:ascii="Garamond" w:hAnsi="Garamond"/>
        </w:rPr>
      </w:pPr>
      <w:r>
        <w:rPr>
          <w:rFonts w:ascii="Garamond" w:hAnsi="Garamond"/>
        </w:rPr>
        <w:t xml:space="preserve">Cell switch </w:t>
      </w:r>
      <w:r w:rsidRPr="006D1347">
        <w:rPr>
          <w:rFonts w:ascii="Garamond" w:hAnsi="Garamond"/>
        </w:rPr>
        <w:t>complet</w:t>
      </w:r>
      <w:r>
        <w:rPr>
          <w:rFonts w:ascii="Garamond" w:hAnsi="Garamond"/>
        </w:rPr>
        <w:t>ion</w:t>
      </w:r>
      <w:r w:rsidRPr="006D1347">
        <w:rPr>
          <w:rFonts w:ascii="Garamond" w:hAnsi="Garamond"/>
        </w:rPr>
        <w:t xml:space="preserve"> </w:t>
      </w:r>
      <w:r>
        <w:rPr>
          <w:rFonts w:ascii="Garamond" w:hAnsi="Garamond"/>
        </w:rPr>
        <w:t xml:space="preserve">is indicated </w:t>
      </w:r>
      <w:r w:rsidRPr="006D1347">
        <w:rPr>
          <w:rFonts w:ascii="Garamond" w:hAnsi="Garamond"/>
        </w:rPr>
        <w:t xml:space="preserve">using </w:t>
      </w:r>
      <w:r>
        <w:rPr>
          <w:rFonts w:ascii="Garamond" w:hAnsi="Garamond"/>
        </w:rPr>
        <w:t>a</w:t>
      </w:r>
      <w:r w:rsidRPr="006D1347">
        <w:rPr>
          <w:rFonts w:ascii="Garamond" w:hAnsi="Garamond"/>
        </w:rPr>
        <w:t xml:space="preserve"> MAC CE</w:t>
      </w:r>
      <w:r>
        <w:rPr>
          <w:rFonts w:ascii="Garamond" w:hAnsi="Garamond"/>
        </w:rPr>
        <w:t xml:space="preserve"> by the UE to the target cell.</w:t>
      </w:r>
    </w:p>
    <w:p w14:paraId="60909705" w14:textId="77777777" w:rsidR="00385134" w:rsidRDefault="00385134" w:rsidP="002B4D71">
      <w:pPr>
        <w:pStyle w:val="Proposal"/>
        <w:numPr>
          <w:ilvl w:val="0"/>
          <w:numId w:val="0"/>
        </w:numPr>
        <w:rPr>
          <w:rFonts w:ascii="Garamond" w:hAnsi="Garamond"/>
          <w:b w:val="0"/>
          <w:bCs w:val="0"/>
        </w:rPr>
      </w:pPr>
    </w:p>
    <w:p w14:paraId="379B6DAA" w14:textId="7D4BD0A7" w:rsidR="002B4D71" w:rsidRPr="002B4D71" w:rsidRDefault="002B4D71" w:rsidP="002B4D71">
      <w:pPr>
        <w:pStyle w:val="Proposal"/>
        <w:numPr>
          <w:ilvl w:val="0"/>
          <w:numId w:val="0"/>
        </w:numPr>
        <w:rPr>
          <w:rFonts w:ascii="Garamond" w:hAnsi="Garamond"/>
          <w:b w:val="0"/>
          <w:bCs w:val="0"/>
        </w:rPr>
      </w:pPr>
      <w:r w:rsidRPr="002B4D71">
        <w:rPr>
          <w:rFonts w:ascii="Garamond" w:hAnsi="Garamond"/>
          <w:b w:val="0"/>
          <w:bCs w:val="0"/>
        </w:rPr>
        <w:t>As there may be other PUSCH options apart from CG-PUSCH and DCI based, it is better that R2 discuss this topic a bit further and also tak</w:t>
      </w:r>
      <w:r>
        <w:rPr>
          <w:rFonts w:ascii="Garamond" w:hAnsi="Garamond"/>
          <w:b w:val="0"/>
          <w:bCs w:val="0"/>
        </w:rPr>
        <w:t>ing</w:t>
      </w:r>
      <w:r w:rsidRPr="002B4D71">
        <w:rPr>
          <w:rFonts w:ascii="Garamond" w:hAnsi="Garamond"/>
          <w:b w:val="0"/>
          <w:bCs w:val="0"/>
        </w:rPr>
        <w:t xml:space="preserve"> RAN3 input into account.</w:t>
      </w:r>
    </w:p>
    <w:p w14:paraId="6913ACDF" w14:textId="4BC119D3" w:rsidR="002B4D71" w:rsidRDefault="002B4D71" w:rsidP="002B4D71">
      <w:pPr>
        <w:pStyle w:val="Proposal"/>
        <w:rPr>
          <w:rFonts w:ascii="Garamond" w:hAnsi="Garamond"/>
        </w:rPr>
      </w:pPr>
      <w:r>
        <w:rPr>
          <w:rFonts w:ascii="Garamond" w:hAnsi="Garamond"/>
        </w:rPr>
        <w:t xml:space="preserve">RAN2 discuss PUSCH options </w:t>
      </w:r>
      <w:r w:rsidR="00BE23F6">
        <w:rPr>
          <w:rFonts w:ascii="Garamond" w:hAnsi="Garamond"/>
        </w:rPr>
        <w:t xml:space="preserve">(e.g., DG or CG) </w:t>
      </w:r>
      <w:r>
        <w:rPr>
          <w:rFonts w:ascii="Garamond" w:hAnsi="Garamond"/>
        </w:rPr>
        <w:t>in the target cell to be used after the UE receives LTM.</w:t>
      </w:r>
    </w:p>
    <w:p w14:paraId="2EAE589E" w14:textId="77777777" w:rsidR="00385134" w:rsidRDefault="00385134" w:rsidP="00385134">
      <w:pPr>
        <w:pStyle w:val="Proposal"/>
        <w:rPr>
          <w:rFonts w:ascii="Garamond" w:hAnsi="Garamond"/>
        </w:rPr>
      </w:pPr>
      <w:r>
        <w:rPr>
          <w:rFonts w:ascii="Garamond" w:hAnsi="Garamond"/>
        </w:rPr>
        <w:lastRenderedPageBreak/>
        <w:t>RAN3 work is needed to ensure PUSCH availability in the target cell; RAN2 may liaise with RAN3 already from this meeting.</w:t>
      </w:r>
    </w:p>
    <w:p w14:paraId="0B3E9543" w14:textId="77777777" w:rsidR="007A4503" w:rsidRDefault="007A4503" w:rsidP="00E14101">
      <w:pPr>
        <w:rPr>
          <w:rFonts w:ascii="Garamond" w:hAnsi="Garamond"/>
          <w:sz w:val="20"/>
          <w:szCs w:val="20"/>
          <w:lang w:val="en-GB"/>
        </w:rPr>
      </w:pPr>
    </w:p>
    <w:p w14:paraId="7ED12A5E" w14:textId="61B0C3F2" w:rsidR="00A03D7D" w:rsidRDefault="00F30D57" w:rsidP="00E14101">
      <w:pPr>
        <w:rPr>
          <w:rFonts w:ascii="Garamond" w:hAnsi="Garamond"/>
          <w:sz w:val="20"/>
          <w:szCs w:val="20"/>
          <w:lang w:val="en-GB"/>
        </w:rPr>
      </w:pPr>
      <w:r>
        <w:rPr>
          <w:rFonts w:ascii="Garamond" w:hAnsi="Garamond"/>
          <w:sz w:val="20"/>
          <w:szCs w:val="20"/>
          <w:lang w:val="en-GB"/>
        </w:rPr>
        <w:t>However, if an Early TA has not been obtained for a target cell indicated in the LTM, the legacy T304 may continue to be used</w:t>
      </w:r>
      <w:r w:rsidR="007A4503">
        <w:rPr>
          <w:rFonts w:ascii="Garamond" w:hAnsi="Garamond"/>
          <w:sz w:val="20"/>
          <w:szCs w:val="20"/>
          <w:lang w:val="en-GB"/>
        </w:rPr>
        <w:t xml:space="preserve"> and the RACH procedure will be started</w:t>
      </w:r>
      <w:r>
        <w:rPr>
          <w:rFonts w:ascii="Garamond" w:hAnsi="Garamond"/>
          <w:sz w:val="20"/>
          <w:szCs w:val="20"/>
          <w:lang w:val="en-GB"/>
        </w:rPr>
        <w:t>. If the Early TA procedure for this cell was ongoing, the UE may continue the procedure.</w:t>
      </w:r>
    </w:p>
    <w:p w14:paraId="4B2A8ABC" w14:textId="11E8DF6D" w:rsidR="00F30D57" w:rsidRDefault="00F30D57" w:rsidP="00F30D57">
      <w:pPr>
        <w:pStyle w:val="Proposal"/>
        <w:rPr>
          <w:rFonts w:ascii="Garamond" w:hAnsi="Garamond"/>
        </w:rPr>
      </w:pPr>
      <w:r>
        <w:rPr>
          <w:rFonts w:ascii="Garamond" w:hAnsi="Garamond"/>
        </w:rPr>
        <w:t xml:space="preserve">The legacy T304 is </w:t>
      </w:r>
      <w:r w:rsidR="007A4503">
        <w:rPr>
          <w:rFonts w:ascii="Garamond" w:hAnsi="Garamond"/>
        </w:rPr>
        <w:t>reused, and the RACH procedure will be started</w:t>
      </w:r>
      <w:r>
        <w:rPr>
          <w:rFonts w:ascii="Garamond" w:hAnsi="Garamond"/>
        </w:rPr>
        <w:t xml:space="preserve"> if an Early TA has not been obtained for a target cell indicated in the LTM.</w:t>
      </w:r>
    </w:p>
    <w:p w14:paraId="2DD01990" w14:textId="7DA60F2B" w:rsidR="007A4503" w:rsidRDefault="007A4503" w:rsidP="00F30D57">
      <w:pPr>
        <w:pStyle w:val="Proposal"/>
        <w:rPr>
          <w:rFonts w:ascii="Garamond" w:hAnsi="Garamond"/>
        </w:rPr>
      </w:pPr>
      <w:r>
        <w:rPr>
          <w:rFonts w:ascii="Garamond" w:hAnsi="Garamond"/>
        </w:rPr>
        <w:t xml:space="preserve">If the Early TA procedure for </w:t>
      </w:r>
      <w:r w:rsidR="00946559">
        <w:rPr>
          <w:rFonts w:ascii="Garamond" w:hAnsi="Garamond"/>
        </w:rPr>
        <w:t>a</w:t>
      </w:r>
      <w:r>
        <w:rPr>
          <w:rFonts w:ascii="Garamond" w:hAnsi="Garamond"/>
        </w:rPr>
        <w:t xml:space="preserve"> </w:t>
      </w:r>
      <w:r w:rsidR="0061679A">
        <w:rPr>
          <w:rFonts w:ascii="Garamond" w:hAnsi="Garamond"/>
        </w:rPr>
        <w:t xml:space="preserve">target </w:t>
      </w:r>
      <w:r>
        <w:rPr>
          <w:rFonts w:ascii="Garamond" w:hAnsi="Garamond"/>
        </w:rPr>
        <w:t>cell was ongoing at the time of LTM reception, the UE continue</w:t>
      </w:r>
      <w:r w:rsidR="00293DAC">
        <w:rPr>
          <w:rFonts w:ascii="Garamond" w:hAnsi="Garamond"/>
        </w:rPr>
        <w:t>s</w:t>
      </w:r>
      <w:r>
        <w:rPr>
          <w:rFonts w:ascii="Garamond" w:hAnsi="Garamond"/>
        </w:rPr>
        <w:t xml:space="preserve"> </w:t>
      </w:r>
      <w:r w:rsidR="00293DAC">
        <w:rPr>
          <w:rFonts w:ascii="Garamond" w:hAnsi="Garamond"/>
        </w:rPr>
        <w:t xml:space="preserve">Early TA </w:t>
      </w:r>
      <w:r>
        <w:rPr>
          <w:rFonts w:ascii="Garamond" w:hAnsi="Garamond"/>
        </w:rPr>
        <w:t>procedure</w:t>
      </w:r>
      <w:r w:rsidR="00031999">
        <w:rPr>
          <w:rFonts w:ascii="Garamond" w:hAnsi="Garamond"/>
        </w:rPr>
        <w:t xml:space="preserve"> </w:t>
      </w:r>
      <w:r w:rsidR="0084583A">
        <w:rPr>
          <w:rFonts w:ascii="Garamond" w:hAnsi="Garamond"/>
        </w:rPr>
        <w:t>but</w:t>
      </w:r>
      <w:r w:rsidR="00031999">
        <w:rPr>
          <w:rFonts w:ascii="Garamond" w:hAnsi="Garamond"/>
        </w:rPr>
        <w:t xml:space="preserve"> legacy T304 would be started</w:t>
      </w:r>
      <w:r>
        <w:rPr>
          <w:rFonts w:ascii="Garamond" w:hAnsi="Garamond"/>
        </w:rPr>
        <w:t>.</w:t>
      </w:r>
    </w:p>
    <w:p w14:paraId="2F9457F8" w14:textId="77777777" w:rsidR="00980F19" w:rsidRDefault="00980F19" w:rsidP="008B5836">
      <w:pPr>
        <w:rPr>
          <w:rFonts w:ascii="Garamond" w:hAnsi="Garamond"/>
          <w:sz w:val="20"/>
          <w:szCs w:val="20"/>
          <w:lang w:val="en-GB"/>
        </w:rPr>
      </w:pPr>
    </w:p>
    <w:p w14:paraId="199ED4A2" w14:textId="18990AD4" w:rsidR="00C22B77" w:rsidRDefault="00980F19" w:rsidP="008B5836">
      <w:pPr>
        <w:rPr>
          <w:rFonts w:ascii="Garamond" w:hAnsi="Garamond"/>
          <w:sz w:val="20"/>
          <w:szCs w:val="20"/>
          <w:lang w:val="en-GB"/>
        </w:rPr>
      </w:pPr>
      <w:r w:rsidRPr="00980F19">
        <w:rPr>
          <w:rFonts w:ascii="Garamond" w:hAnsi="Garamond"/>
          <w:sz w:val="20"/>
          <w:szCs w:val="20"/>
          <w:lang w:val="en-GB"/>
        </w:rPr>
        <w:t xml:space="preserve">After successfully getting early TA via RACH, </w:t>
      </w:r>
      <w:r>
        <w:rPr>
          <w:rFonts w:ascii="Garamond" w:hAnsi="Garamond"/>
          <w:sz w:val="20"/>
          <w:szCs w:val="20"/>
          <w:lang w:val="en-GB"/>
        </w:rPr>
        <w:t>validity of</w:t>
      </w:r>
      <w:r w:rsidRPr="00980F19">
        <w:rPr>
          <w:rFonts w:ascii="Garamond" w:hAnsi="Garamond"/>
          <w:sz w:val="20"/>
          <w:szCs w:val="20"/>
          <w:lang w:val="en-GB"/>
        </w:rPr>
        <w:t xml:space="preserve"> the early TA </w:t>
      </w:r>
      <w:r>
        <w:rPr>
          <w:rFonts w:ascii="Garamond" w:hAnsi="Garamond"/>
          <w:sz w:val="20"/>
          <w:szCs w:val="20"/>
          <w:lang w:val="en-GB"/>
        </w:rPr>
        <w:t xml:space="preserve">can be controlled using a legacy like </w:t>
      </w:r>
      <w:r w:rsidR="00122909" w:rsidRPr="00122909">
        <w:rPr>
          <w:rFonts w:ascii="Garamond" w:hAnsi="Garamond"/>
          <w:sz w:val="20"/>
          <w:szCs w:val="20"/>
          <w:lang w:val="en-GB"/>
        </w:rPr>
        <w:t>Timer alignment Timer</w:t>
      </w:r>
      <w:r w:rsidR="00122909">
        <w:rPr>
          <w:rFonts w:ascii="Garamond" w:hAnsi="Garamond"/>
          <w:sz w:val="20"/>
          <w:szCs w:val="20"/>
          <w:lang w:val="en-GB"/>
        </w:rPr>
        <w:t xml:space="preserve"> (</w:t>
      </w:r>
      <w:r>
        <w:rPr>
          <w:rFonts w:ascii="Garamond" w:hAnsi="Garamond"/>
          <w:sz w:val="20"/>
          <w:szCs w:val="20"/>
          <w:lang w:val="en-GB"/>
        </w:rPr>
        <w:t>TAT</w:t>
      </w:r>
      <w:r w:rsidR="00122909">
        <w:rPr>
          <w:rFonts w:ascii="Garamond" w:hAnsi="Garamond"/>
          <w:sz w:val="20"/>
          <w:szCs w:val="20"/>
          <w:lang w:val="en-GB"/>
        </w:rPr>
        <w:t>)</w:t>
      </w:r>
      <w:r>
        <w:rPr>
          <w:rFonts w:ascii="Garamond" w:hAnsi="Garamond"/>
          <w:sz w:val="20"/>
          <w:szCs w:val="20"/>
          <w:lang w:val="en-GB"/>
        </w:rPr>
        <w:t>, where the value is configured per candidate or per group of candidate cell basis in the first-RRC-configuration.</w:t>
      </w:r>
    </w:p>
    <w:p w14:paraId="111CDC3C" w14:textId="4597BC45" w:rsidR="00980F19" w:rsidRPr="007A4503" w:rsidRDefault="00980F19" w:rsidP="00980F19">
      <w:pPr>
        <w:pStyle w:val="Proposal"/>
        <w:rPr>
          <w:rFonts w:ascii="Garamond" w:hAnsi="Garamond"/>
        </w:rPr>
      </w:pPr>
      <w:r>
        <w:rPr>
          <w:rFonts w:ascii="Garamond" w:hAnsi="Garamond"/>
        </w:rPr>
        <w:t>Validity of</w:t>
      </w:r>
      <w:r w:rsidRPr="00980F19">
        <w:rPr>
          <w:rFonts w:ascii="Garamond" w:hAnsi="Garamond"/>
        </w:rPr>
        <w:t xml:space="preserve"> </w:t>
      </w:r>
      <w:r w:rsidR="00CD5974">
        <w:rPr>
          <w:rFonts w:ascii="Garamond" w:hAnsi="Garamond"/>
        </w:rPr>
        <w:t>an</w:t>
      </w:r>
      <w:r w:rsidRPr="00980F19">
        <w:rPr>
          <w:rFonts w:ascii="Garamond" w:hAnsi="Garamond"/>
        </w:rPr>
        <w:t xml:space="preserve"> early TA </w:t>
      </w:r>
      <w:r>
        <w:rPr>
          <w:rFonts w:ascii="Garamond" w:hAnsi="Garamond"/>
        </w:rPr>
        <w:t xml:space="preserve">can be controlled using a legacy like TAT, where the value is configured per </w:t>
      </w:r>
      <w:r w:rsidR="00CD5974">
        <w:rPr>
          <w:rFonts w:ascii="Garamond" w:hAnsi="Garamond"/>
        </w:rPr>
        <w:t>(</w:t>
      </w:r>
      <w:r>
        <w:rPr>
          <w:rFonts w:ascii="Garamond" w:hAnsi="Garamond"/>
        </w:rPr>
        <w:t>group</w:t>
      </w:r>
      <w:r w:rsidR="00CD5974">
        <w:rPr>
          <w:rFonts w:ascii="Garamond" w:hAnsi="Garamond"/>
        </w:rPr>
        <w:t>)</w:t>
      </w:r>
      <w:r>
        <w:rPr>
          <w:rFonts w:ascii="Garamond" w:hAnsi="Garamond"/>
        </w:rPr>
        <w:t xml:space="preserve"> of candidate cell.</w:t>
      </w:r>
    </w:p>
    <w:p w14:paraId="4522E374" w14:textId="77777777" w:rsidR="00FF5AFB" w:rsidRDefault="00FF5AFB" w:rsidP="008B5836">
      <w:pPr>
        <w:rPr>
          <w:rFonts w:ascii="Garamond" w:hAnsi="Garamond"/>
          <w:sz w:val="20"/>
          <w:szCs w:val="20"/>
        </w:rPr>
      </w:pPr>
    </w:p>
    <w:p w14:paraId="7CD94D31" w14:textId="126844C5" w:rsidR="001A065E" w:rsidRDefault="001A065E" w:rsidP="008B5836">
      <w:pPr>
        <w:rPr>
          <w:rFonts w:ascii="Garamond" w:hAnsi="Garamond"/>
          <w:sz w:val="20"/>
          <w:szCs w:val="20"/>
        </w:rPr>
      </w:pPr>
      <w:r w:rsidRPr="008B5836">
        <w:rPr>
          <w:rFonts w:ascii="Garamond" w:hAnsi="Garamond"/>
          <w:sz w:val="20"/>
          <w:szCs w:val="20"/>
        </w:rPr>
        <w:t xml:space="preserve">Upon expiry of T304-like or T304 timer when the R18 LTM base cell switch is being used, </w:t>
      </w:r>
      <w:r w:rsidR="008B5836" w:rsidRPr="008B5836">
        <w:rPr>
          <w:rFonts w:ascii="Garamond" w:hAnsi="Garamond"/>
          <w:sz w:val="20"/>
          <w:szCs w:val="20"/>
        </w:rPr>
        <w:t>it is not immediately clear if a Reestablishment procedure needs to be invoked as in legacy. But this discussion can take place later when the basic Early TA and LTM procedures are clearer.</w:t>
      </w:r>
    </w:p>
    <w:p w14:paraId="09D1F371" w14:textId="77777777" w:rsidR="00731463" w:rsidRDefault="00731463" w:rsidP="008B5836">
      <w:pPr>
        <w:rPr>
          <w:rFonts w:ascii="Garamond" w:hAnsi="Garamond"/>
          <w:sz w:val="20"/>
          <w:szCs w:val="20"/>
        </w:rPr>
      </w:pPr>
    </w:p>
    <w:p w14:paraId="4D4222A0" w14:textId="77777777" w:rsidR="0051361E" w:rsidRDefault="0039704D" w:rsidP="008B5836">
      <w:pPr>
        <w:rPr>
          <w:rFonts w:ascii="Garamond" w:hAnsi="Garamond"/>
          <w:sz w:val="20"/>
          <w:szCs w:val="20"/>
        </w:rPr>
      </w:pPr>
      <w:r w:rsidRPr="0051361E">
        <w:rPr>
          <w:rFonts w:ascii="Garamond" w:hAnsi="Garamond"/>
          <w:b/>
          <w:bCs/>
          <w:u w:val="single"/>
        </w:rPr>
        <w:t>UE capability and RAN4 involvement</w:t>
      </w:r>
      <w:r w:rsidRPr="00731463">
        <w:rPr>
          <w:rFonts w:ascii="Garamond" w:hAnsi="Garamond"/>
          <w:b/>
          <w:bCs/>
          <w:sz w:val="20"/>
          <w:szCs w:val="20"/>
          <w:u w:val="single"/>
        </w:rPr>
        <w:t>:</w:t>
      </w:r>
      <w:r>
        <w:rPr>
          <w:rFonts w:ascii="Garamond" w:hAnsi="Garamond"/>
          <w:sz w:val="20"/>
          <w:szCs w:val="20"/>
        </w:rPr>
        <w:t xml:space="preserve"> </w:t>
      </w:r>
    </w:p>
    <w:p w14:paraId="22CF0654" w14:textId="59592DE2" w:rsidR="0039704D" w:rsidRDefault="00FD523E" w:rsidP="008B5836">
      <w:pPr>
        <w:rPr>
          <w:rFonts w:ascii="Garamond" w:hAnsi="Garamond"/>
          <w:sz w:val="20"/>
          <w:szCs w:val="20"/>
        </w:rPr>
      </w:pPr>
      <w:r>
        <w:rPr>
          <w:rFonts w:ascii="Garamond" w:hAnsi="Garamond"/>
          <w:sz w:val="20"/>
          <w:szCs w:val="20"/>
        </w:rPr>
        <w:t>M</w:t>
      </w:r>
      <w:r w:rsidR="00731463" w:rsidRPr="00731463">
        <w:rPr>
          <w:rFonts w:ascii="Garamond" w:hAnsi="Garamond"/>
          <w:sz w:val="20"/>
          <w:szCs w:val="20"/>
        </w:rPr>
        <w:t xml:space="preserve">easurements gaps </w:t>
      </w:r>
      <w:r>
        <w:rPr>
          <w:rFonts w:ascii="Garamond" w:hAnsi="Garamond"/>
          <w:sz w:val="20"/>
          <w:szCs w:val="20"/>
        </w:rPr>
        <w:t xml:space="preserve">may be </w:t>
      </w:r>
      <w:r w:rsidR="00731463" w:rsidRPr="00731463">
        <w:rPr>
          <w:rFonts w:ascii="Garamond" w:hAnsi="Garamond"/>
          <w:sz w:val="20"/>
          <w:szCs w:val="20"/>
        </w:rPr>
        <w:t>provided to measure candidate cell(s) on a certain measurement object</w:t>
      </w:r>
      <w:r>
        <w:rPr>
          <w:rFonts w:ascii="Garamond" w:hAnsi="Garamond"/>
          <w:sz w:val="20"/>
          <w:szCs w:val="20"/>
        </w:rPr>
        <w:t xml:space="preserve"> if it is on a non-serving frequency. In such case</w:t>
      </w:r>
      <w:r w:rsidR="00731463" w:rsidRPr="00731463">
        <w:rPr>
          <w:rFonts w:ascii="Garamond" w:hAnsi="Garamond"/>
          <w:sz w:val="20"/>
          <w:szCs w:val="20"/>
        </w:rPr>
        <w:t xml:space="preserve">, UE will keep using the same gaps to perform Early TA procedure, if possible. However, the measurement gaps may not align with the PRACH occasions of a candidate cell depending on the configuration of PRACH resources in the candidate and its corresponding SSB(s) the UE measures as of good radio quality. Since the transmission of RACH Msg1, followed up by a RAR window and any additional transmission of Msg3, especially when neither dedicated PRACH resources nor a C-RNTI is provided for the said candidate cell are somewhat deterministic and may not align with the said measurement gaps, </w:t>
      </w:r>
      <w:r w:rsidR="0096378B">
        <w:rPr>
          <w:rFonts w:ascii="Garamond" w:hAnsi="Garamond"/>
          <w:sz w:val="20"/>
          <w:szCs w:val="20"/>
        </w:rPr>
        <w:t>a differe</w:t>
      </w:r>
      <w:r w:rsidR="00731463" w:rsidRPr="00731463">
        <w:rPr>
          <w:rFonts w:ascii="Garamond" w:hAnsi="Garamond"/>
          <w:sz w:val="20"/>
          <w:szCs w:val="20"/>
        </w:rPr>
        <w:t>n</w:t>
      </w:r>
      <w:r w:rsidR="0096378B">
        <w:rPr>
          <w:rFonts w:ascii="Garamond" w:hAnsi="Garamond"/>
          <w:sz w:val="20"/>
          <w:szCs w:val="20"/>
        </w:rPr>
        <w:t>t gap pattern may be useful here.</w:t>
      </w:r>
    </w:p>
    <w:p w14:paraId="2DE03ADE" w14:textId="3AA2DF07" w:rsidR="0096378B" w:rsidRDefault="0096378B" w:rsidP="008B5836">
      <w:pPr>
        <w:rPr>
          <w:rFonts w:ascii="Garamond" w:hAnsi="Garamond"/>
          <w:sz w:val="20"/>
          <w:szCs w:val="20"/>
        </w:rPr>
      </w:pPr>
      <w:r>
        <w:rPr>
          <w:rFonts w:ascii="Garamond" w:hAnsi="Garamond"/>
          <w:sz w:val="20"/>
          <w:szCs w:val="20"/>
        </w:rPr>
        <w:t xml:space="preserve">Alternatively, </w:t>
      </w:r>
      <w:r w:rsidR="009D37B4" w:rsidRPr="009D37B4">
        <w:rPr>
          <w:rFonts w:ascii="Garamond" w:hAnsi="Garamond"/>
          <w:sz w:val="20"/>
          <w:szCs w:val="20"/>
        </w:rPr>
        <w:t>if the said gap pattern is not available or used or if a separate Rx-Tx chain is available</w:t>
      </w:r>
      <w:r w:rsidR="00DD3B00">
        <w:rPr>
          <w:rFonts w:ascii="Garamond" w:hAnsi="Garamond"/>
          <w:sz w:val="20"/>
          <w:szCs w:val="20"/>
        </w:rPr>
        <w:t>,</w:t>
      </w:r>
      <w:r w:rsidR="009D37B4" w:rsidRPr="009D37B4">
        <w:rPr>
          <w:rFonts w:ascii="Garamond" w:hAnsi="Garamond"/>
          <w:sz w:val="20"/>
          <w:szCs w:val="20"/>
        </w:rPr>
        <w:t xml:space="preserve"> </w:t>
      </w:r>
      <w:r w:rsidR="00DD3B00">
        <w:rPr>
          <w:rFonts w:ascii="Garamond" w:hAnsi="Garamond"/>
          <w:sz w:val="20"/>
          <w:szCs w:val="20"/>
        </w:rPr>
        <w:t xml:space="preserve">the </w:t>
      </w:r>
      <w:r w:rsidRPr="0096378B">
        <w:rPr>
          <w:rFonts w:ascii="Garamond" w:hAnsi="Garamond"/>
          <w:sz w:val="20"/>
          <w:szCs w:val="20"/>
        </w:rPr>
        <w:t xml:space="preserve">transmission of Msg1 </w:t>
      </w:r>
      <w:r>
        <w:rPr>
          <w:rFonts w:ascii="Garamond" w:hAnsi="Garamond"/>
          <w:sz w:val="20"/>
          <w:szCs w:val="20"/>
        </w:rPr>
        <w:t xml:space="preserve">(and Msg3 when contention can’t be resolved since the UE did not receive a dedicated PRACH or a new C-RNTI from the target cell) </w:t>
      </w:r>
      <w:r w:rsidRPr="0096378B">
        <w:rPr>
          <w:rFonts w:ascii="Garamond" w:hAnsi="Garamond"/>
          <w:sz w:val="20"/>
          <w:szCs w:val="20"/>
        </w:rPr>
        <w:t>itself may be done by splitting power to transmit Msg1 with any other UL transmission that the UE needs to perform on the source cell</w:t>
      </w:r>
      <w:r>
        <w:rPr>
          <w:rFonts w:ascii="Garamond" w:hAnsi="Garamond"/>
          <w:sz w:val="20"/>
          <w:szCs w:val="20"/>
        </w:rPr>
        <w:t xml:space="preserve">. To this end, </w:t>
      </w:r>
      <w:r w:rsidRPr="0096378B">
        <w:rPr>
          <w:rFonts w:ascii="Garamond" w:hAnsi="Garamond"/>
          <w:sz w:val="20"/>
          <w:szCs w:val="20"/>
        </w:rPr>
        <w:t>UE may be configured a rule indicating if Early TA procedure is to be prioritized or rather a PUSCH transmission on the source cell. The configuration, e.g., a Boolean can be sent in first-RRC-Reconfiguration message – and be indicated per candidate cell or once for all candidate cells. The reason to prioritize PUSCH transmission on the source cell is to ensure that the current data flow is not interrupted, and user-experience is not affected. However, a network may choose that an Early TA procedure is to be prioritized, if it believes that the UE needs to be quickly moved/ changed/ handed-over to another cell e.g., when radio condition of the source cell is quickly deteriorating or is already very feeble based on the latest measurement report(s) from the UE. Based on such a specified/ configurable or implementation specific rule, UE will use required power for one procedure (Early TA or PUSCH-on-source) and use only remaining power to the other (PUSCH-on-source or Early TA) and if this required power falls short of the minimum required power, the UE may decide to drop the corresponding transmission</w:t>
      </w:r>
      <w:r>
        <w:rPr>
          <w:rFonts w:ascii="Garamond" w:hAnsi="Garamond"/>
          <w:sz w:val="20"/>
          <w:szCs w:val="20"/>
        </w:rPr>
        <w:t>.</w:t>
      </w:r>
    </w:p>
    <w:p w14:paraId="5192570E" w14:textId="41AF21C9" w:rsidR="009D37B4" w:rsidRDefault="00BC52AC" w:rsidP="008B5836">
      <w:pPr>
        <w:rPr>
          <w:rFonts w:ascii="Garamond" w:hAnsi="Garamond"/>
          <w:sz w:val="20"/>
          <w:szCs w:val="20"/>
        </w:rPr>
      </w:pPr>
      <w:r>
        <w:rPr>
          <w:rFonts w:ascii="Garamond" w:hAnsi="Garamond"/>
          <w:sz w:val="20"/>
          <w:szCs w:val="20"/>
        </w:rPr>
        <w:t xml:space="preserve">As both aspects i.e., designing of new gap pattern, power split/ transmission dropping and UE’s performance on both source (for data continuation) and target (for finishing up Early TA with a required performance) are closely related to </w:t>
      </w:r>
      <w:r>
        <w:rPr>
          <w:rFonts w:ascii="Garamond" w:hAnsi="Garamond"/>
          <w:sz w:val="20"/>
          <w:szCs w:val="20"/>
        </w:rPr>
        <w:lastRenderedPageBreak/>
        <w:t xml:space="preserve">RAN4 work, RAN2 may do well to start early to contact them – noting that as per the WID, R4 is not responsible for </w:t>
      </w:r>
      <w:r w:rsidRPr="00BC52AC">
        <w:rPr>
          <w:rFonts w:ascii="Garamond" w:hAnsi="Garamond"/>
          <w:sz w:val="20"/>
          <w:szCs w:val="20"/>
        </w:rPr>
        <w:t>L1/L2 based inter-cell mobility for mobility latency reduction</w:t>
      </w:r>
      <w:r>
        <w:rPr>
          <w:rFonts w:ascii="Garamond" w:hAnsi="Garamond"/>
          <w:sz w:val="20"/>
          <w:szCs w:val="20"/>
        </w:rPr>
        <w:t xml:space="preserve"> in the first WID objective.</w:t>
      </w:r>
    </w:p>
    <w:p w14:paraId="76AFF674" w14:textId="7AEE5C23" w:rsidR="004129FB" w:rsidRDefault="00A022CC" w:rsidP="0055215E">
      <w:pPr>
        <w:pStyle w:val="Proposal"/>
        <w:rPr>
          <w:rFonts w:ascii="Garamond" w:hAnsi="Garamond"/>
        </w:rPr>
      </w:pPr>
      <w:r>
        <w:rPr>
          <w:rFonts w:ascii="Garamond" w:hAnsi="Garamond"/>
        </w:rPr>
        <w:t>RAN2 discuss UE capability aspect and decide if a new gap pattern makes more sense than a power split between the source and target, to accomplish the Early TA.</w:t>
      </w:r>
    </w:p>
    <w:p w14:paraId="25519291" w14:textId="6103CACC" w:rsidR="00114197" w:rsidRDefault="00114197" w:rsidP="0055215E">
      <w:pPr>
        <w:pStyle w:val="Proposal"/>
        <w:rPr>
          <w:rFonts w:ascii="Garamond" w:hAnsi="Garamond"/>
        </w:rPr>
      </w:pPr>
      <w:r>
        <w:rPr>
          <w:rFonts w:ascii="Garamond" w:hAnsi="Garamond"/>
        </w:rPr>
        <w:t>RAN</w:t>
      </w:r>
      <w:r w:rsidR="005861DF">
        <w:rPr>
          <w:rFonts w:ascii="Garamond" w:hAnsi="Garamond"/>
        </w:rPr>
        <w:t>2</w:t>
      </w:r>
      <w:r>
        <w:rPr>
          <w:rFonts w:ascii="Garamond" w:hAnsi="Garamond"/>
        </w:rPr>
        <w:t xml:space="preserve"> kindly contact RAN4 once the basic capability model has been discussed.</w:t>
      </w:r>
    </w:p>
    <w:p w14:paraId="09F84A8F" w14:textId="77777777" w:rsidR="00FF7432" w:rsidRDefault="00FF7432" w:rsidP="008B5836">
      <w:pPr>
        <w:rPr>
          <w:rFonts w:ascii="Garamond" w:hAnsi="Garamond"/>
          <w:sz w:val="20"/>
          <w:szCs w:val="20"/>
        </w:rPr>
      </w:pPr>
    </w:p>
    <w:p w14:paraId="56936702" w14:textId="77777777" w:rsidR="00E74D1F" w:rsidRDefault="007C7541" w:rsidP="008B5836">
      <w:pPr>
        <w:rPr>
          <w:rFonts w:ascii="Garamond" w:hAnsi="Garamond"/>
          <w:sz w:val="20"/>
          <w:szCs w:val="20"/>
        </w:rPr>
      </w:pPr>
      <w:r w:rsidRPr="00E74D1F">
        <w:rPr>
          <w:rFonts w:ascii="Garamond" w:hAnsi="Garamond"/>
          <w:b/>
          <w:bCs/>
          <w:u w:val="single"/>
        </w:rPr>
        <w:t>RAN2 centric smaller aspects:</w:t>
      </w:r>
      <w:r>
        <w:rPr>
          <w:rFonts w:ascii="Garamond" w:hAnsi="Garamond"/>
          <w:sz w:val="20"/>
          <w:szCs w:val="20"/>
        </w:rPr>
        <w:t xml:space="preserve"> </w:t>
      </w:r>
    </w:p>
    <w:p w14:paraId="3DE8EFC8" w14:textId="40F20F62" w:rsidR="00A022CC" w:rsidRDefault="00A022CC" w:rsidP="008B5836">
      <w:pPr>
        <w:rPr>
          <w:rFonts w:ascii="Garamond" w:hAnsi="Garamond"/>
          <w:sz w:val="20"/>
          <w:szCs w:val="20"/>
        </w:rPr>
      </w:pPr>
      <w:r>
        <w:rPr>
          <w:rFonts w:ascii="Garamond" w:hAnsi="Garamond"/>
          <w:sz w:val="20"/>
          <w:szCs w:val="20"/>
        </w:rPr>
        <w:t xml:space="preserve">As one easier aspect, since R2 agreed to include one of </w:t>
      </w:r>
      <w:r w:rsidRPr="0014437B">
        <w:rPr>
          <w:rFonts w:ascii="Garamond" w:hAnsi="Garamond"/>
          <w:i/>
          <w:iCs/>
          <w:sz w:val="20"/>
          <w:szCs w:val="20"/>
        </w:rPr>
        <w:t>RRCReconfiguration</w:t>
      </w:r>
      <w:r>
        <w:rPr>
          <w:rFonts w:ascii="Garamond" w:hAnsi="Garamond"/>
          <w:i/>
          <w:iCs/>
          <w:sz w:val="20"/>
          <w:szCs w:val="20"/>
        </w:rPr>
        <w:t xml:space="preserve"> </w:t>
      </w:r>
      <w:r w:rsidRPr="00A022CC">
        <w:rPr>
          <w:rFonts w:ascii="Garamond" w:hAnsi="Garamond"/>
          <w:sz w:val="20"/>
          <w:szCs w:val="20"/>
        </w:rPr>
        <w:t>or</w:t>
      </w:r>
      <w:r>
        <w:rPr>
          <w:rFonts w:ascii="Garamond" w:hAnsi="Garamond"/>
          <w:i/>
          <w:iCs/>
          <w:sz w:val="20"/>
          <w:szCs w:val="20"/>
        </w:rPr>
        <w:t xml:space="preserve"> </w:t>
      </w:r>
      <w:r w:rsidRPr="00A022CC">
        <w:rPr>
          <w:rFonts w:ascii="Garamond" w:hAnsi="Garamond"/>
          <w:i/>
          <w:iCs/>
          <w:sz w:val="20"/>
          <w:szCs w:val="20"/>
        </w:rPr>
        <w:t>CellGroupConfig IE</w:t>
      </w:r>
      <w:r w:rsidRPr="00A022CC">
        <w:rPr>
          <w:rFonts w:ascii="Garamond" w:hAnsi="Garamond"/>
          <w:sz w:val="20"/>
          <w:szCs w:val="20"/>
        </w:rPr>
        <w:t xml:space="preserve"> per candidate cell</w:t>
      </w:r>
      <w:r>
        <w:rPr>
          <w:rFonts w:ascii="Garamond" w:hAnsi="Garamond"/>
          <w:sz w:val="20"/>
          <w:szCs w:val="20"/>
        </w:rPr>
        <w:t xml:space="preserve">, it can be decided that a new C-RNTI is always included in the </w:t>
      </w:r>
      <w:r w:rsidRPr="00A022CC">
        <w:rPr>
          <w:rFonts w:ascii="Garamond" w:hAnsi="Garamond"/>
          <w:i/>
          <w:iCs/>
          <w:sz w:val="20"/>
          <w:szCs w:val="20"/>
        </w:rPr>
        <w:t>newUE-Identity</w:t>
      </w:r>
      <w:r>
        <w:rPr>
          <w:rFonts w:ascii="Garamond" w:hAnsi="Garamond"/>
          <w:sz w:val="20"/>
          <w:szCs w:val="20"/>
        </w:rPr>
        <w:t xml:space="preserve"> (-&gt; </w:t>
      </w:r>
      <w:r w:rsidRPr="00A022CC">
        <w:rPr>
          <w:rFonts w:ascii="Garamond" w:hAnsi="Garamond"/>
          <w:i/>
          <w:iCs/>
          <w:sz w:val="20"/>
          <w:szCs w:val="20"/>
        </w:rPr>
        <w:t>ReconfigurationWithSync</w:t>
      </w:r>
      <w:r>
        <w:rPr>
          <w:rFonts w:ascii="Garamond" w:hAnsi="Garamond"/>
          <w:sz w:val="20"/>
          <w:szCs w:val="20"/>
        </w:rPr>
        <w:t xml:space="preserve"> -&gt; </w:t>
      </w:r>
      <w:r w:rsidRPr="00A022CC">
        <w:rPr>
          <w:rFonts w:ascii="Garamond" w:hAnsi="Garamond"/>
          <w:i/>
          <w:iCs/>
          <w:sz w:val="20"/>
          <w:szCs w:val="20"/>
        </w:rPr>
        <w:t>SpCellConfig</w:t>
      </w:r>
      <w:r>
        <w:rPr>
          <w:rFonts w:ascii="Garamond" w:hAnsi="Garamond"/>
          <w:sz w:val="20"/>
          <w:szCs w:val="20"/>
        </w:rPr>
        <w:t>)</w:t>
      </w:r>
      <w:r w:rsidR="0055215E">
        <w:rPr>
          <w:rFonts w:ascii="Garamond" w:hAnsi="Garamond"/>
          <w:sz w:val="20"/>
          <w:szCs w:val="20"/>
        </w:rPr>
        <w:t xml:space="preserve">. </w:t>
      </w:r>
    </w:p>
    <w:p w14:paraId="69A86DD1" w14:textId="732D7C30" w:rsidR="00821D26" w:rsidRDefault="006101BA" w:rsidP="009A20CB">
      <w:pPr>
        <w:pStyle w:val="Proposal"/>
        <w:rPr>
          <w:rFonts w:ascii="Garamond" w:hAnsi="Garamond"/>
        </w:rPr>
      </w:pPr>
      <w:r>
        <w:rPr>
          <w:rFonts w:ascii="Garamond" w:hAnsi="Garamond"/>
        </w:rPr>
        <w:t>A new C-RNTI (</w:t>
      </w:r>
      <w:r w:rsidRPr="004877DB">
        <w:rPr>
          <w:rFonts w:ascii="Garamond" w:hAnsi="Garamond"/>
          <w:i/>
          <w:iCs/>
        </w:rPr>
        <w:t>newUE-Identity</w:t>
      </w:r>
      <w:r>
        <w:rPr>
          <w:rFonts w:ascii="Garamond" w:hAnsi="Garamond"/>
        </w:rPr>
        <w:t>) is always included in the candidate cell list (inside the first-RRC-Reconfiguration).</w:t>
      </w:r>
    </w:p>
    <w:p w14:paraId="330231BA" w14:textId="77777777" w:rsidR="0076641C" w:rsidRPr="0076641C" w:rsidRDefault="0076641C" w:rsidP="0076641C">
      <w:pPr>
        <w:pStyle w:val="Proposal"/>
        <w:numPr>
          <w:ilvl w:val="0"/>
          <w:numId w:val="0"/>
        </w:numPr>
        <w:ind w:left="1304"/>
        <w:rPr>
          <w:rFonts w:ascii="Garamond" w:hAnsi="Garamond"/>
        </w:rPr>
      </w:pPr>
    </w:p>
    <w:p w14:paraId="01692E72" w14:textId="5B17AE59" w:rsidR="003D09B9" w:rsidRPr="003D09B9" w:rsidRDefault="003D09B9" w:rsidP="003D09B9">
      <w:pPr>
        <w:rPr>
          <w:rFonts w:ascii="Garamond" w:hAnsi="Garamond"/>
        </w:rPr>
      </w:pPr>
      <w:r>
        <w:rPr>
          <w:rFonts w:ascii="Garamond" w:hAnsi="Garamond"/>
        </w:rPr>
        <w:t xml:space="preserve">RAN2 has previous discussed </w:t>
      </w:r>
      <w:r w:rsidRPr="003D09B9">
        <w:rPr>
          <w:rFonts w:ascii="Garamond" w:hAnsi="Garamond"/>
        </w:rPr>
        <w:t>compliance check of candidate cell configuration</w:t>
      </w:r>
      <w:r w:rsidR="009773A5">
        <w:rPr>
          <w:rFonts w:ascii="Garamond" w:hAnsi="Garamond"/>
        </w:rPr>
        <w:t>:</w:t>
      </w:r>
    </w:p>
    <w:p w14:paraId="3B2780B0" w14:textId="77777777" w:rsidR="003D09B9" w:rsidRPr="00FE4E65" w:rsidRDefault="003D09B9" w:rsidP="00FE4E65">
      <w:pPr>
        <w:pStyle w:val="ListParagraph"/>
        <w:numPr>
          <w:ilvl w:val="0"/>
          <w:numId w:val="27"/>
        </w:numPr>
        <w:rPr>
          <w:i/>
          <w:iCs/>
        </w:rPr>
      </w:pPr>
      <w:bookmarkStart w:id="6" w:name="_Hlk117510277"/>
      <w:r w:rsidRPr="00FE4E65">
        <w:rPr>
          <w:i/>
          <w:iCs/>
        </w:rPr>
        <w:t xml:space="preserve">FFS whether ASN.1 decoding and validity/compliance check of candidate cell configuration are performed upon reception of the candidate cells configuration. FFS if this need to be specified. </w:t>
      </w:r>
    </w:p>
    <w:bookmarkEnd w:id="6"/>
    <w:p w14:paraId="3EDC0BE3" w14:textId="524E140B" w:rsidR="003D09B9" w:rsidRDefault="003D09B9" w:rsidP="009A20CB">
      <w:pPr>
        <w:rPr>
          <w:rFonts w:ascii="Garamond" w:hAnsi="Garamond"/>
        </w:rPr>
      </w:pPr>
      <w:r>
        <w:rPr>
          <w:rFonts w:ascii="Garamond" w:hAnsi="Garamond"/>
        </w:rPr>
        <w:t>It</w:t>
      </w:r>
      <w:r w:rsidRPr="003D09B9">
        <w:rPr>
          <w:rFonts w:ascii="Garamond" w:hAnsi="Garamond"/>
        </w:rPr>
        <w:t xml:space="preserve"> can be performed </w:t>
      </w:r>
      <w:r>
        <w:rPr>
          <w:rFonts w:ascii="Garamond" w:hAnsi="Garamond"/>
        </w:rPr>
        <w:t xml:space="preserve">just before </w:t>
      </w:r>
      <w:r w:rsidRPr="003D09B9">
        <w:rPr>
          <w:rFonts w:ascii="Garamond" w:hAnsi="Garamond"/>
        </w:rPr>
        <w:t xml:space="preserve">time point of </w:t>
      </w:r>
      <w:r>
        <w:rPr>
          <w:rFonts w:ascii="Garamond" w:hAnsi="Garamond"/>
        </w:rPr>
        <w:t xml:space="preserve">initiating </w:t>
      </w:r>
      <w:r w:rsidRPr="003D09B9">
        <w:rPr>
          <w:rFonts w:ascii="Garamond" w:hAnsi="Garamond"/>
        </w:rPr>
        <w:t>random access for UL sync</w:t>
      </w:r>
      <w:r>
        <w:rPr>
          <w:rFonts w:ascii="Garamond" w:hAnsi="Garamond"/>
        </w:rPr>
        <w:t>hronization, i.e., a full compliance check at the time of receiving first-RRC-configuration is not required.</w:t>
      </w:r>
    </w:p>
    <w:p w14:paraId="1863CD34" w14:textId="2FC49633" w:rsidR="00E414DA" w:rsidRDefault="004B174C" w:rsidP="004B174C">
      <w:pPr>
        <w:pStyle w:val="Proposal"/>
        <w:rPr>
          <w:rFonts w:ascii="Garamond" w:hAnsi="Garamond"/>
        </w:rPr>
      </w:pPr>
      <w:r>
        <w:rPr>
          <w:rFonts w:ascii="Garamond" w:hAnsi="Garamond"/>
        </w:rPr>
        <w:t xml:space="preserve">Compliance check </w:t>
      </w:r>
      <w:r w:rsidR="00EB3F2C">
        <w:rPr>
          <w:rFonts w:ascii="Garamond" w:hAnsi="Garamond"/>
        </w:rPr>
        <w:t xml:space="preserve">for a particular candidate cell (group) </w:t>
      </w:r>
      <w:r w:rsidR="00E414DA" w:rsidRPr="003D09B9">
        <w:rPr>
          <w:rFonts w:ascii="Garamond" w:hAnsi="Garamond"/>
        </w:rPr>
        <w:t xml:space="preserve">can be performed </w:t>
      </w:r>
      <w:r w:rsidR="00E414DA">
        <w:rPr>
          <w:rFonts w:ascii="Garamond" w:hAnsi="Garamond"/>
        </w:rPr>
        <w:t xml:space="preserve">just before </w:t>
      </w:r>
      <w:r w:rsidR="00E414DA" w:rsidRPr="003D09B9">
        <w:rPr>
          <w:rFonts w:ascii="Garamond" w:hAnsi="Garamond"/>
        </w:rPr>
        <w:t xml:space="preserve">time point of </w:t>
      </w:r>
      <w:r w:rsidR="00E414DA">
        <w:rPr>
          <w:rFonts w:ascii="Garamond" w:hAnsi="Garamond"/>
        </w:rPr>
        <w:t xml:space="preserve">initiating </w:t>
      </w:r>
      <w:r w:rsidR="00E414DA" w:rsidRPr="003D09B9">
        <w:rPr>
          <w:rFonts w:ascii="Garamond" w:hAnsi="Garamond"/>
        </w:rPr>
        <w:t xml:space="preserve">random access for </w:t>
      </w:r>
      <w:r w:rsidR="00B3555C" w:rsidRPr="00980F19">
        <w:rPr>
          <w:rFonts w:ascii="Garamond" w:hAnsi="Garamond"/>
        </w:rPr>
        <w:t>early TA</w:t>
      </w:r>
      <w:r w:rsidR="00EB3F2C">
        <w:rPr>
          <w:rFonts w:ascii="Garamond" w:hAnsi="Garamond"/>
        </w:rPr>
        <w:t>.</w:t>
      </w:r>
    </w:p>
    <w:p w14:paraId="7252FBC8" w14:textId="77777777" w:rsidR="00080F2A" w:rsidRDefault="00080F2A" w:rsidP="009A20CB">
      <w:pPr>
        <w:rPr>
          <w:rFonts w:ascii="Garamond" w:hAnsi="Garamond"/>
          <w:sz w:val="20"/>
          <w:szCs w:val="20"/>
        </w:rPr>
      </w:pPr>
    </w:p>
    <w:p w14:paraId="4A7AC6CB" w14:textId="6C64CE80" w:rsidR="00B32353" w:rsidRDefault="009A20CB" w:rsidP="009A20CB">
      <w:pPr>
        <w:rPr>
          <w:rFonts w:ascii="Garamond" w:hAnsi="Garamond"/>
          <w:sz w:val="20"/>
          <w:szCs w:val="20"/>
        </w:rPr>
      </w:pPr>
      <w:r w:rsidRPr="00821D26">
        <w:rPr>
          <w:rFonts w:ascii="Garamond" w:hAnsi="Garamond"/>
          <w:sz w:val="20"/>
          <w:szCs w:val="20"/>
        </w:rPr>
        <w:t>As one final R2 specific aspect</w:t>
      </w:r>
      <w:r w:rsidR="00B32353">
        <w:rPr>
          <w:rFonts w:ascii="Garamond" w:hAnsi="Garamond"/>
          <w:sz w:val="20"/>
          <w:szCs w:val="20"/>
        </w:rPr>
        <w:t>s</w:t>
      </w:r>
      <w:r w:rsidRPr="00821D26">
        <w:rPr>
          <w:rFonts w:ascii="Garamond" w:hAnsi="Garamond"/>
          <w:sz w:val="20"/>
          <w:szCs w:val="20"/>
        </w:rPr>
        <w:t xml:space="preserve">, the interaction in race conditions need to be discussed e.g., </w:t>
      </w:r>
    </w:p>
    <w:p w14:paraId="44ADF27B" w14:textId="32A24A38" w:rsidR="00B32353" w:rsidRDefault="009A20CB" w:rsidP="00B32353">
      <w:pPr>
        <w:pStyle w:val="ListParagraph"/>
        <w:numPr>
          <w:ilvl w:val="0"/>
          <w:numId w:val="33"/>
        </w:numPr>
        <w:rPr>
          <w:rFonts w:ascii="Garamond" w:hAnsi="Garamond"/>
        </w:rPr>
      </w:pPr>
      <w:r w:rsidRPr="00B32353">
        <w:rPr>
          <w:rFonts w:ascii="Garamond" w:hAnsi="Garamond"/>
        </w:rPr>
        <w:t xml:space="preserve">what happens when an Early TA procedure is </w:t>
      </w:r>
      <w:r w:rsidR="00AA72BF" w:rsidRPr="00B32353">
        <w:rPr>
          <w:rFonts w:ascii="Garamond" w:hAnsi="Garamond"/>
        </w:rPr>
        <w:t>ongoing,</w:t>
      </w:r>
      <w:r w:rsidRPr="00B32353">
        <w:rPr>
          <w:rFonts w:ascii="Garamond" w:hAnsi="Garamond"/>
        </w:rPr>
        <w:t xml:space="preserve"> and UE received an LTM</w:t>
      </w:r>
      <w:r w:rsidR="00B32353">
        <w:rPr>
          <w:rFonts w:ascii="Garamond" w:hAnsi="Garamond"/>
        </w:rPr>
        <w:t>?</w:t>
      </w:r>
    </w:p>
    <w:p w14:paraId="79782D6C" w14:textId="053ECBAE" w:rsidR="007A4503" w:rsidRDefault="009A20CB" w:rsidP="000C20BA">
      <w:pPr>
        <w:pStyle w:val="ListParagraph"/>
        <w:numPr>
          <w:ilvl w:val="0"/>
          <w:numId w:val="33"/>
        </w:numPr>
        <w:rPr>
          <w:rFonts w:ascii="Garamond" w:hAnsi="Garamond"/>
        </w:rPr>
      </w:pPr>
      <w:r w:rsidRPr="00B32353">
        <w:rPr>
          <w:rFonts w:ascii="Garamond" w:hAnsi="Garamond"/>
        </w:rPr>
        <w:t>Also, would maintaining Early TA be supported after cell switch procedure is completed with a first target cell?</w:t>
      </w:r>
    </w:p>
    <w:p w14:paraId="55187B45" w14:textId="23C2EA16" w:rsidR="007126C5" w:rsidRPr="007126C5" w:rsidRDefault="007126C5" w:rsidP="007126C5">
      <w:pPr>
        <w:pStyle w:val="Proposal"/>
        <w:rPr>
          <w:rFonts w:ascii="Garamond" w:hAnsi="Garamond"/>
        </w:rPr>
      </w:pPr>
      <w:r>
        <w:rPr>
          <w:rFonts w:ascii="Garamond" w:hAnsi="Garamond"/>
        </w:rPr>
        <w:t xml:space="preserve">RAN2 should discuss (marginal aspects if time allows in this meeting) e.g., when </w:t>
      </w:r>
      <w:r w:rsidRPr="00B32353">
        <w:rPr>
          <w:rFonts w:ascii="Garamond" w:hAnsi="Garamond"/>
        </w:rPr>
        <w:t>Early TA procedure is ongoing, and UE receive</w:t>
      </w:r>
      <w:r w:rsidR="00B3555C">
        <w:rPr>
          <w:rFonts w:ascii="Garamond" w:hAnsi="Garamond"/>
        </w:rPr>
        <w:t>s</w:t>
      </w:r>
      <w:r w:rsidRPr="00B32353">
        <w:rPr>
          <w:rFonts w:ascii="Garamond" w:hAnsi="Garamond"/>
        </w:rPr>
        <w:t xml:space="preserve"> an LTM</w:t>
      </w:r>
      <w:r>
        <w:rPr>
          <w:rFonts w:ascii="Garamond" w:hAnsi="Garamond"/>
        </w:rPr>
        <w:t xml:space="preserve"> </w:t>
      </w:r>
      <w:r w:rsidR="00B3555C">
        <w:rPr>
          <w:rFonts w:ascii="Garamond" w:hAnsi="Garamond"/>
        </w:rPr>
        <w:t xml:space="preserve">for the same candidate cell </w:t>
      </w:r>
      <w:r>
        <w:rPr>
          <w:rFonts w:ascii="Garamond" w:hAnsi="Garamond"/>
        </w:rPr>
        <w:t>or how to deal with acquired Early TA after successful cell switch.</w:t>
      </w:r>
    </w:p>
    <w:p w14:paraId="2B6BD07D" w14:textId="77777777" w:rsidR="00904DF0" w:rsidRDefault="00904DF0">
      <w:pPr>
        <w:rPr>
          <w:rFonts w:ascii="Times New Roman" w:eastAsia="SimSun" w:hAnsi="Times New Roman" w:cs="Times New Roman"/>
          <w:b/>
          <w:sz w:val="32"/>
          <w:szCs w:val="32"/>
          <w:lang w:val="en-GB" w:eastAsia="zh-CN"/>
        </w:rPr>
      </w:pPr>
      <w:r>
        <w:rPr>
          <w:rFonts w:ascii="Times New Roman" w:hAnsi="Times New Roman"/>
          <w:b/>
          <w:sz w:val="32"/>
          <w:szCs w:val="32"/>
          <w:lang w:eastAsia="zh-CN"/>
        </w:rPr>
        <w:br w:type="page"/>
      </w:r>
    </w:p>
    <w:p w14:paraId="185FB279" w14:textId="3353A849" w:rsidR="000C124B" w:rsidRPr="007022BC" w:rsidRDefault="000C124B" w:rsidP="000E6A78">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sidRPr="007022BC">
        <w:rPr>
          <w:rFonts w:ascii="Times New Roman" w:hAnsi="Times New Roman"/>
          <w:b/>
          <w:sz w:val="32"/>
          <w:szCs w:val="32"/>
          <w:lang w:eastAsia="zh-CN"/>
        </w:rPr>
        <w:lastRenderedPageBreak/>
        <w:t>Conclusion</w:t>
      </w:r>
    </w:p>
    <w:p w14:paraId="07EA6CD4" w14:textId="77777777" w:rsidR="00094C5A" w:rsidRDefault="00094C5A" w:rsidP="00F9300A">
      <w:pPr>
        <w:spacing w:afterLines="50" w:after="120"/>
        <w:rPr>
          <w:rFonts w:ascii="Garamond" w:hAnsi="Garamond" w:cs="Times New Roman"/>
          <w:sz w:val="20"/>
          <w:szCs w:val="20"/>
        </w:rPr>
      </w:pPr>
    </w:p>
    <w:p w14:paraId="3C2EA754" w14:textId="64178DC1" w:rsidR="00CE5633" w:rsidRPr="00742E3F" w:rsidRDefault="00E87350" w:rsidP="00F9300A">
      <w:pPr>
        <w:spacing w:afterLines="50" w:after="120"/>
        <w:rPr>
          <w:rFonts w:ascii="Garamond" w:hAnsi="Garamond" w:cs="Times New Roman"/>
          <w:sz w:val="20"/>
          <w:szCs w:val="20"/>
        </w:rPr>
      </w:pPr>
      <w:r>
        <w:rPr>
          <w:rFonts w:ascii="Garamond" w:eastAsia="MS Mincho" w:hAnsi="Garamond" w:cs="Times New Roman"/>
          <w:bCs/>
          <w:sz w:val="20"/>
          <w:szCs w:val="20"/>
          <w:lang w:val="en-GB"/>
        </w:rPr>
        <w:t>This paper show</w:t>
      </w:r>
      <w:r>
        <w:rPr>
          <w:rFonts w:ascii="Garamond" w:eastAsia="MS Mincho" w:hAnsi="Garamond" w:cs="Times New Roman"/>
          <w:bCs/>
          <w:sz w:val="20"/>
          <w:szCs w:val="20"/>
          <w:lang w:val="en-GB"/>
        </w:rPr>
        <w:t xml:space="preserve">ed </w:t>
      </w:r>
      <w:r>
        <w:rPr>
          <w:rFonts w:ascii="Garamond" w:eastAsia="MS Mincho" w:hAnsi="Garamond" w:cs="Times New Roman"/>
          <w:bCs/>
          <w:sz w:val="20"/>
          <w:szCs w:val="20"/>
          <w:lang w:val="en-GB"/>
        </w:rPr>
        <w:t>that indeed there’s plenty to be done in R2, R3 and R4 besides waiting for R1 to conclude their work</w:t>
      </w:r>
      <w:r w:rsidR="002A2ECD">
        <w:rPr>
          <w:rFonts w:ascii="Garamond" w:eastAsia="MS Mincho" w:hAnsi="Garamond" w:cs="Times New Roman"/>
          <w:bCs/>
          <w:sz w:val="20"/>
          <w:szCs w:val="20"/>
          <w:lang w:val="en-GB"/>
        </w:rPr>
        <w:t>. Following</w:t>
      </w:r>
      <w:r>
        <w:rPr>
          <w:rFonts w:ascii="Garamond" w:eastAsia="MS Mincho" w:hAnsi="Garamond" w:cs="Times New Roman"/>
          <w:bCs/>
          <w:sz w:val="20"/>
          <w:szCs w:val="20"/>
          <w:lang w:val="en-GB"/>
        </w:rPr>
        <w:t xml:space="preserve"> </w:t>
      </w:r>
      <w:r w:rsidRPr="00742E3F">
        <w:rPr>
          <w:rFonts w:ascii="Garamond" w:hAnsi="Garamond" w:cs="Times New Roman"/>
          <w:sz w:val="20"/>
          <w:szCs w:val="20"/>
        </w:rPr>
        <w:t>proposal</w:t>
      </w:r>
      <w:r>
        <w:rPr>
          <w:rFonts w:ascii="Garamond" w:hAnsi="Garamond" w:cs="Times New Roman"/>
          <w:sz w:val="20"/>
          <w:szCs w:val="20"/>
        </w:rPr>
        <w:t>s</w:t>
      </w:r>
      <w:r w:rsidRPr="00742E3F">
        <w:rPr>
          <w:rFonts w:ascii="Garamond" w:hAnsi="Garamond" w:cs="Times New Roman"/>
          <w:sz w:val="20"/>
          <w:szCs w:val="20"/>
        </w:rPr>
        <w:t xml:space="preserve"> </w:t>
      </w:r>
      <w:r>
        <w:rPr>
          <w:rFonts w:ascii="Garamond" w:hAnsi="Garamond" w:cs="Times New Roman"/>
          <w:sz w:val="20"/>
          <w:szCs w:val="20"/>
        </w:rPr>
        <w:t>are</w:t>
      </w:r>
      <w:r>
        <w:rPr>
          <w:rFonts w:ascii="Garamond" w:hAnsi="Garamond" w:cs="Times New Roman"/>
          <w:sz w:val="20"/>
          <w:szCs w:val="20"/>
        </w:rPr>
        <w:t xml:space="preserve"> </w:t>
      </w:r>
      <w:r w:rsidRPr="00742E3F">
        <w:rPr>
          <w:rFonts w:ascii="Garamond" w:hAnsi="Garamond" w:cs="Times New Roman"/>
          <w:sz w:val="20"/>
          <w:szCs w:val="20"/>
        </w:rPr>
        <w:t>made:</w:t>
      </w:r>
    </w:p>
    <w:p w14:paraId="52857C1E" w14:textId="77777777" w:rsidR="00A662DC" w:rsidRPr="00294917" w:rsidRDefault="00A662DC" w:rsidP="00A662DC">
      <w:pPr>
        <w:rPr>
          <w:rFonts w:ascii="Garamond" w:hAnsi="Garamond"/>
          <w:b/>
          <w:bCs/>
          <w:sz w:val="18"/>
          <w:szCs w:val="18"/>
        </w:rPr>
      </w:pPr>
      <w:r w:rsidRPr="00294917">
        <w:rPr>
          <w:rFonts w:ascii="Garamond" w:hAnsi="Garamond"/>
          <w:b/>
          <w:bCs/>
          <w:sz w:val="18"/>
          <w:szCs w:val="18"/>
        </w:rPr>
        <w:t>Proposal 1</w:t>
      </w:r>
      <w:r w:rsidRPr="00294917">
        <w:rPr>
          <w:rFonts w:ascii="Garamond" w:hAnsi="Garamond"/>
          <w:b/>
          <w:bCs/>
          <w:sz w:val="18"/>
          <w:szCs w:val="18"/>
        </w:rPr>
        <w:tab/>
        <w:t>RAN2 starts the work for Early TA acquisition and liaise with R1, R3 and R4 wherever necessary.</w:t>
      </w:r>
    </w:p>
    <w:p w14:paraId="65F75AC5" w14:textId="77777777" w:rsidR="00A662DC" w:rsidRPr="00294917" w:rsidRDefault="00A662DC" w:rsidP="00A662DC">
      <w:pPr>
        <w:rPr>
          <w:rFonts w:ascii="Garamond" w:hAnsi="Garamond"/>
          <w:b/>
          <w:bCs/>
          <w:sz w:val="18"/>
          <w:szCs w:val="18"/>
        </w:rPr>
      </w:pPr>
      <w:r w:rsidRPr="00294917">
        <w:rPr>
          <w:rFonts w:ascii="Garamond" w:hAnsi="Garamond"/>
          <w:b/>
          <w:bCs/>
          <w:sz w:val="18"/>
          <w:szCs w:val="18"/>
        </w:rPr>
        <w:t>Proposal 2</w:t>
      </w:r>
      <w:r w:rsidRPr="00294917">
        <w:rPr>
          <w:rFonts w:ascii="Garamond" w:hAnsi="Garamond"/>
          <w:b/>
          <w:bCs/>
          <w:sz w:val="18"/>
          <w:szCs w:val="18"/>
        </w:rPr>
        <w:tab/>
        <w:t>UE shall acquire Early TA for a bare minimum candidate cell.</w:t>
      </w:r>
    </w:p>
    <w:p w14:paraId="19E02AD0" w14:textId="133A7017" w:rsidR="00A662DC" w:rsidRPr="00294917" w:rsidRDefault="00A662DC" w:rsidP="00A662DC">
      <w:pPr>
        <w:rPr>
          <w:rFonts w:ascii="Garamond" w:hAnsi="Garamond"/>
          <w:b/>
          <w:bCs/>
          <w:sz w:val="18"/>
          <w:szCs w:val="18"/>
        </w:rPr>
      </w:pPr>
      <w:r w:rsidRPr="00294917">
        <w:rPr>
          <w:rFonts w:ascii="Garamond" w:hAnsi="Garamond"/>
          <w:b/>
          <w:bCs/>
          <w:sz w:val="18"/>
          <w:szCs w:val="18"/>
        </w:rPr>
        <w:t>Proposal 3</w:t>
      </w:r>
      <w:r w:rsidRPr="00294917">
        <w:rPr>
          <w:rFonts w:ascii="Garamond" w:hAnsi="Garamond"/>
          <w:b/>
          <w:bCs/>
          <w:sz w:val="18"/>
          <w:szCs w:val="18"/>
        </w:rPr>
        <w:tab/>
        <w:t>RAN2 discuss means to shortlist candidate cells for the Early TA acquisition.</w:t>
      </w:r>
    </w:p>
    <w:p w14:paraId="2565B3ED" w14:textId="43EAD1B6" w:rsidR="00A662DC" w:rsidRPr="00294917" w:rsidRDefault="00A662DC" w:rsidP="00A662DC">
      <w:pPr>
        <w:rPr>
          <w:rFonts w:ascii="Garamond" w:hAnsi="Garamond"/>
          <w:b/>
          <w:bCs/>
          <w:sz w:val="18"/>
          <w:szCs w:val="18"/>
        </w:rPr>
      </w:pPr>
      <w:r w:rsidRPr="00294917">
        <w:rPr>
          <w:rFonts w:ascii="Garamond" w:hAnsi="Garamond"/>
          <w:b/>
          <w:bCs/>
          <w:sz w:val="18"/>
          <w:szCs w:val="18"/>
        </w:rPr>
        <w:t>Proposal 4</w:t>
      </w:r>
      <w:r w:rsidRPr="00294917">
        <w:rPr>
          <w:rFonts w:ascii="Garamond" w:hAnsi="Garamond"/>
          <w:b/>
          <w:bCs/>
          <w:sz w:val="18"/>
          <w:szCs w:val="18"/>
        </w:rPr>
        <w:tab/>
        <w:t xml:space="preserve">UE indicates to the current serving gNB (DU) if an early TA has been acquired (or fails to acquire) for a candidate cell. </w:t>
      </w:r>
    </w:p>
    <w:p w14:paraId="233E9A29" w14:textId="227C052A" w:rsidR="00A662DC" w:rsidRPr="00294917" w:rsidRDefault="00A662DC" w:rsidP="00A662DC">
      <w:pPr>
        <w:rPr>
          <w:rFonts w:ascii="Garamond" w:hAnsi="Garamond"/>
          <w:b/>
          <w:bCs/>
          <w:sz w:val="18"/>
          <w:szCs w:val="18"/>
        </w:rPr>
      </w:pPr>
      <w:r w:rsidRPr="00294917">
        <w:rPr>
          <w:rFonts w:ascii="Garamond" w:hAnsi="Garamond"/>
          <w:b/>
          <w:bCs/>
          <w:sz w:val="18"/>
          <w:szCs w:val="18"/>
        </w:rPr>
        <w:t>Proposal 5</w:t>
      </w:r>
      <w:r w:rsidRPr="00294917">
        <w:rPr>
          <w:rFonts w:ascii="Garamond" w:hAnsi="Garamond"/>
          <w:b/>
          <w:bCs/>
          <w:sz w:val="18"/>
          <w:szCs w:val="18"/>
        </w:rPr>
        <w:tab/>
        <w:t>UE reports measurement results e.g., including an indication confirming if an Early TA has been obtained (or UE fails to obtain) for the corresponding reported cell.</w:t>
      </w:r>
    </w:p>
    <w:p w14:paraId="0C12342E" w14:textId="0ADEF221" w:rsidR="00A662DC" w:rsidRPr="00294917" w:rsidRDefault="00A662DC" w:rsidP="00A662DC">
      <w:pPr>
        <w:rPr>
          <w:rFonts w:ascii="Garamond" w:hAnsi="Garamond"/>
          <w:b/>
          <w:bCs/>
          <w:sz w:val="18"/>
          <w:szCs w:val="18"/>
        </w:rPr>
      </w:pPr>
      <w:r w:rsidRPr="00294917">
        <w:rPr>
          <w:rFonts w:ascii="Garamond" w:hAnsi="Garamond"/>
          <w:b/>
          <w:bCs/>
          <w:sz w:val="18"/>
          <w:szCs w:val="18"/>
        </w:rPr>
        <w:t>Proposal 6</w:t>
      </w:r>
      <w:r w:rsidRPr="00294917">
        <w:rPr>
          <w:rFonts w:ascii="Garamond" w:hAnsi="Garamond"/>
          <w:b/>
          <w:bCs/>
          <w:sz w:val="18"/>
          <w:szCs w:val="18"/>
        </w:rPr>
        <w:tab/>
        <w:t xml:space="preserve">RAN2 to discuss further the details of the RACH procedure initiated to acquire an early TA on a candidate cell, e.g., identification that RACH is performed for early TA acquisition (or for legacy purpose) and content of RACH msg3. </w:t>
      </w:r>
    </w:p>
    <w:p w14:paraId="1145C58B" w14:textId="1F543910" w:rsidR="00A662DC" w:rsidRPr="00294917" w:rsidRDefault="00A662DC" w:rsidP="00A662DC">
      <w:pPr>
        <w:rPr>
          <w:rFonts w:ascii="Garamond" w:hAnsi="Garamond"/>
          <w:b/>
          <w:bCs/>
          <w:sz w:val="18"/>
          <w:szCs w:val="18"/>
        </w:rPr>
      </w:pPr>
      <w:r w:rsidRPr="00294917">
        <w:rPr>
          <w:rFonts w:ascii="Garamond" w:hAnsi="Garamond"/>
          <w:b/>
          <w:bCs/>
          <w:sz w:val="18"/>
          <w:szCs w:val="18"/>
        </w:rPr>
        <w:t>Proposal 7</w:t>
      </w:r>
      <w:r w:rsidRPr="00294917">
        <w:rPr>
          <w:rFonts w:ascii="Garamond" w:hAnsi="Garamond"/>
          <w:b/>
          <w:bCs/>
          <w:sz w:val="18"/>
          <w:szCs w:val="18"/>
        </w:rPr>
        <w:tab/>
        <w:t>A T304-like timer is used to control the LTM based cell switch procedure when Early TA for the target cell is available.</w:t>
      </w:r>
    </w:p>
    <w:p w14:paraId="7DDC578A" w14:textId="7D1DEC8E" w:rsidR="00A662DC" w:rsidRPr="00294917" w:rsidRDefault="00A662DC" w:rsidP="00A662DC">
      <w:pPr>
        <w:rPr>
          <w:rFonts w:ascii="Garamond" w:hAnsi="Garamond"/>
          <w:b/>
          <w:bCs/>
          <w:sz w:val="18"/>
          <w:szCs w:val="18"/>
        </w:rPr>
      </w:pPr>
      <w:r w:rsidRPr="00294917">
        <w:rPr>
          <w:rFonts w:ascii="Garamond" w:hAnsi="Garamond"/>
          <w:b/>
          <w:bCs/>
          <w:sz w:val="18"/>
          <w:szCs w:val="18"/>
        </w:rPr>
        <w:t>Proposal 8</w:t>
      </w:r>
      <w:r w:rsidRPr="00294917">
        <w:rPr>
          <w:rFonts w:ascii="Garamond" w:hAnsi="Garamond"/>
          <w:b/>
          <w:bCs/>
          <w:sz w:val="18"/>
          <w:szCs w:val="18"/>
        </w:rPr>
        <w:tab/>
        <w:t>Reception of LTM at the UE triggers PUSCH availability in the target cell, enabling the UE to announce its arrival and complete cell switch procedure.</w:t>
      </w:r>
    </w:p>
    <w:p w14:paraId="5C798498" w14:textId="00090A50" w:rsidR="00A662DC" w:rsidRPr="00294917" w:rsidRDefault="00A662DC" w:rsidP="00A662DC">
      <w:pPr>
        <w:rPr>
          <w:rFonts w:ascii="Garamond" w:hAnsi="Garamond"/>
          <w:b/>
          <w:bCs/>
          <w:sz w:val="18"/>
          <w:szCs w:val="18"/>
        </w:rPr>
      </w:pPr>
      <w:r w:rsidRPr="00294917">
        <w:rPr>
          <w:rFonts w:ascii="Garamond" w:hAnsi="Garamond"/>
          <w:b/>
          <w:bCs/>
          <w:sz w:val="18"/>
          <w:szCs w:val="18"/>
        </w:rPr>
        <w:t>Proposal 9</w:t>
      </w:r>
      <w:r w:rsidRPr="00294917">
        <w:rPr>
          <w:rFonts w:ascii="Garamond" w:hAnsi="Garamond"/>
          <w:b/>
          <w:bCs/>
          <w:sz w:val="18"/>
          <w:szCs w:val="18"/>
        </w:rPr>
        <w:tab/>
        <w:t>Cell switch completion is indicated using a MAC CE by the UE to the target cell.</w:t>
      </w:r>
    </w:p>
    <w:p w14:paraId="3CE0943C" w14:textId="2CB951E4" w:rsidR="00A662DC" w:rsidRPr="00294917" w:rsidRDefault="00A662DC" w:rsidP="00A662DC">
      <w:pPr>
        <w:rPr>
          <w:rFonts w:ascii="Garamond" w:hAnsi="Garamond"/>
          <w:b/>
          <w:bCs/>
          <w:sz w:val="18"/>
          <w:szCs w:val="18"/>
        </w:rPr>
      </w:pPr>
      <w:r w:rsidRPr="00294917">
        <w:rPr>
          <w:rFonts w:ascii="Garamond" w:hAnsi="Garamond"/>
          <w:b/>
          <w:bCs/>
          <w:sz w:val="18"/>
          <w:szCs w:val="18"/>
        </w:rPr>
        <w:t>Proposal 10</w:t>
      </w:r>
      <w:r w:rsidRPr="00294917">
        <w:rPr>
          <w:rFonts w:ascii="Garamond" w:hAnsi="Garamond"/>
          <w:b/>
          <w:bCs/>
          <w:sz w:val="18"/>
          <w:szCs w:val="18"/>
        </w:rPr>
        <w:tab/>
        <w:t>RAN2 discuss PUSCH options (e.g., DG or CG) in the target cell to be used after the UE receives LTM.</w:t>
      </w:r>
    </w:p>
    <w:p w14:paraId="34601BDB" w14:textId="75DD42F3" w:rsidR="00A662DC" w:rsidRPr="00294917" w:rsidRDefault="00A662DC" w:rsidP="00A662DC">
      <w:pPr>
        <w:rPr>
          <w:rFonts w:ascii="Garamond" w:hAnsi="Garamond"/>
          <w:b/>
          <w:bCs/>
          <w:sz w:val="18"/>
          <w:szCs w:val="18"/>
        </w:rPr>
      </w:pPr>
      <w:r w:rsidRPr="00294917">
        <w:rPr>
          <w:rFonts w:ascii="Garamond" w:hAnsi="Garamond"/>
          <w:b/>
          <w:bCs/>
          <w:sz w:val="18"/>
          <w:szCs w:val="18"/>
        </w:rPr>
        <w:t>Proposal 11</w:t>
      </w:r>
      <w:r w:rsidRPr="00294917">
        <w:rPr>
          <w:rFonts w:ascii="Garamond" w:hAnsi="Garamond"/>
          <w:b/>
          <w:bCs/>
          <w:sz w:val="18"/>
          <w:szCs w:val="18"/>
        </w:rPr>
        <w:tab/>
        <w:t>RAN3 work is needed to ensure PUSCH availability in the target cell; RAN2 may liaise with RAN3 already from this meeting.</w:t>
      </w:r>
    </w:p>
    <w:p w14:paraId="781DC7E2" w14:textId="445E64B5" w:rsidR="00A662DC" w:rsidRPr="00294917" w:rsidRDefault="00A662DC" w:rsidP="00A662DC">
      <w:pPr>
        <w:rPr>
          <w:rFonts w:ascii="Garamond" w:hAnsi="Garamond"/>
          <w:b/>
          <w:bCs/>
          <w:sz w:val="18"/>
          <w:szCs w:val="18"/>
        </w:rPr>
      </w:pPr>
      <w:r w:rsidRPr="00294917">
        <w:rPr>
          <w:rFonts w:ascii="Garamond" w:hAnsi="Garamond"/>
          <w:b/>
          <w:bCs/>
          <w:sz w:val="18"/>
          <w:szCs w:val="18"/>
        </w:rPr>
        <w:t>Proposal 12</w:t>
      </w:r>
      <w:r w:rsidRPr="00294917">
        <w:rPr>
          <w:rFonts w:ascii="Garamond" w:hAnsi="Garamond"/>
          <w:b/>
          <w:bCs/>
          <w:sz w:val="18"/>
          <w:szCs w:val="18"/>
        </w:rPr>
        <w:tab/>
        <w:t>The legacy T304 is reused, and the RACH procedure will be started if an Early TA has not been obtained for a target cell indicated in the LTM.</w:t>
      </w:r>
    </w:p>
    <w:p w14:paraId="31C48516" w14:textId="744A41C0" w:rsidR="00A662DC" w:rsidRPr="00294917" w:rsidRDefault="00A662DC" w:rsidP="00A662DC">
      <w:pPr>
        <w:rPr>
          <w:rFonts w:ascii="Garamond" w:hAnsi="Garamond"/>
          <w:b/>
          <w:bCs/>
          <w:sz w:val="18"/>
          <w:szCs w:val="18"/>
        </w:rPr>
      </w:pPr>
      <w:r w:rsidRPr="00294917">
        <w:rPr>
          <w:rFonts w:ascii="Garamond" w:hAnsi="Garamond"/>
          <w:b/>
          <w:bCs/>
          <w:sz w:val="18"/>
          <w:szCs w:val="18"/>
        </w:rPr>
        <w:t>Proposal 13</w:t>
      </w:r>
      <w:r w:rsidRPr="00294917">
        <w:rPr>
          <w:rFonts w:ascii="Garamond" w:hAnsi="Garamond"/>
          <w:b/>
          <w:bCs/>
          <w:sz w:val="18"/>
          <w:szCs w:val="18"/>
        </w:rPr>
        <w:tab/>
        <w:t>If the Early TA procedure for a target cell was ongoing at the time of LTM reception, the UE continues Early TA procedure but legacy T304 would be started.</w:t>
      </w:r>
    </w:p>
    <w:p w14:paraId="3A8CB4F9" w14:textId="5FC96653" w:rsidR="00A662DC" w:rsidRPr="00294917" w:rsidRDefault="00A662DC" w:rsidP="00A662DC">
      <w:pPr>
        <w:rPr>
          <w:rFonts w:ascii="Garamond" w:hAnsi="Garamond"/>
          <w:b/>
          <w:bCs/>
          <w:sz w:val="18"/>
          <w:szCs w:val="18"/>
        </w:rPr>
      </w:pPr>
      <w:r w:rsidRPr="00294917">
        <w:rPr>
          <w:rFonts w:ascii="Garamond" w:hAnsi="Garamond"/>
          <w:b/>
          <w:bCs/>
          <w:sz w:val="18"/>
          <w:szCs w:val="18"/>
        </w:rPr>
        <w:t>Proposal 14</w:t>
      </w:r>
      <w:r w:rsidRPr="00294917">
        <w:rPr>
          <w:rFonts w:ascii="Garamond" w:hAnsi="Garamond"/>
          <w:b/>
          <w:bCs/>
          <w:sz w:val="18"/>
          <w:szCs w:val="18"/>
        </w:rPr>
        <w:tab/>
        <w:t>Validity of an early TA can be controlled using a legacy like TAT, where the value is configured per (group) of candidate cell.</w:t>
      </w:r>
    </w:p>
    <w:p w14:paraId="43078BF9" w14:textId="24B4DFD2" w:rsidR="00A662DC" w:rsidRPr="00294917" w:rsidRDefault="00A662DC" w:rsidP="00A662DC">
      <w:pPr>
        <w:rPr>
          <w:rFonts w:ascii="Garamond" w:hAnsi="Garamond"/>
          <w:b/>
          <w:bCs/>
          <w:sz w:val="18"/>
          <w:szCs w:val="18"/>
        </w:rPr>
      </w:pPr>
      <w:r w:rsidRPr="00294917">
        <w:rPr>
          <w:rFonts w:ascii="Garamond" w:hAnsi="Garamond"/>
          <w:b/>
          <w:bCs/>
          <w:sz w:val="18"/>
          <w:szCs w:val="18"/>
        </w:rPr>
        <w:t>Proposal 15</w:t>
      </w:r>
      <w:r w:rsidRPr="00294917">
        <w:rPr>
          <w:rFonts w:ascii="Garamond" w:hAnsi="Garamond"/>
          <w:b/>
          <w:bCs/>
          <w:sz w:val="18"/>
          <w:szCs w:val="18"/>
        </w:rPr>
        <w:tab/>
        <w:t>RAN2 discuss UE capability aspect and decide if a new gap pattern makes more sense than a power split between the source and target, to accomplish the Early TA.</w:t>
      </w:r>
    </w:p>
    <w:p w14:paraId="56FE8FEF" w14:textId="4C67567E" w:rsidR="00A662DC" w:rsidRPr="00294917" w:rsidRDefault="00A662DC" w:rsidP="00A662DC">
      <w:pPr>
        <w:rPr>
          <w:rFonts w:ascii="Garamond" w:hAnsi="Garamond"/>
          <w:b/>
          <w:bCs/>
          <w:sz w:val="18"/>
          <w:szCs w:val="18"/>
        </w:rPr>
      </w:pPr>
      <w:r w:rsidRPr="00294917">
        <w:rPr>
          <w:rFonts w:ascii="Garamond" w:hAnsi="Garamond"/>
          <w:b/>
          <w:bCs/>
          <w:sz w:val="18"/>
          <w:szCs w:val="18"/>
        </w:rPr>
        <w:t>Proposal 16</w:t>
      </w:r>
      <w:r w:rsidRPr="00294917">
        <w:rPr>
          <w:rFonts w:ascii="Garamond" w:hAnsi="Garamond"/>
          <w:b/>
          <w:bCs/>
          <w:sz w:val="18"/>
          <w:szCs w:val="18"/>
        </w:rPr>
        <w:tab/>
        <w:t>RAN2 kindly contact RAN4 once the basic capability model has been discussed.</w:t>
      </w:r>
    </w:p>
    <w:p w14:paraId="25C5FA4F" w14:textId="336DFF88" w:rsidR="00A662DC" w:rsidRPr="00294917" w:rsidRDefault="00A662DC" w:rsidP="00A662DC">
      <w:pPr>
        <w:rPr>
          <w:rFonts w:ascii="Garamond" w:hAnsi="Garamond"/>
          <w:b/>
          <w:bCs/>
          <w:sz w:val="18"/>
          <w:szCs w:val="18"/>
        </w:rPr>
      </w:pPr>
      <w:r w:rsidRPr="00294917">
        <w:rPr>
          <w:rFonts w:ascii="Garamond" w:hAnsi="Garamond"/>
          <w:b/>
          <w:bCs/>
          <w:sz w:val="18"/>
          <w:szCs w:val="18"/>
        </w:rPr>
        <w:t>Proposal 17</w:t>
      </w:r>
      <w:r w:rsidRPr="00294917">
        <w:rPr>
          <w:rFonts w:ascii="Garamond" w:hAnsi="Garamond"/>
          <w:b/>
          <w:bCs/>
          <w:sz w:val="18"/>
          <w:szCs w:val="18"/>
        </w:rPr>
        <w:tab/>
        <w:t>A new C-RNTI (newUE-Identity) is always included in the candidate cell list (inside the first-RRC-Reconfiguration).</w:t>
      </w:r>
    </w:p>
    <w:p w14:paraId="712668E0" w14:textId="1DF0E37E" w:rsidR="00A662DC" w:rsidRPr="00294917" w:rsidRDefault="00A662DC" w:rsidP="00A662DC">
      <w:pPr>
        <w:rPr>
          <w:rFonts w:ascii="Garamond" w:hAnsi="Garamond"/>
          <w:b/>
          <w:bCs/>
          <w:sz w:val="18"/>
          <w:szCs w:val="18"/>
        </w:rPr>
      </w:pPr>
      <w:r w:rsidRPr="00294917">
        <w:rPr>
          <w:rFonts w:ascii="Garamond" w:hAnsi="Garamond"/>
          <w:b/>
          <w:bCs/>
          <w:sz w:val="18"/>
          <w:szCs w:val="18"/>
        </w:rPr>
        <w:t>Proposal 18</w:t>
      </w:r>
      <w:r w:rsidRPr="00294917">
        <w:rPr>
          <w:rFonts w:ascii="Garamond" w:hAnsi="Garamond"/>
          <w:b/>
          <w:bCs/>
          <w:sz w:val="18"/>
          <w:szCs w:val="18"/>
        </w:rPr>
        <w:tab/>
        <w:t>Compliance check for a particular candidate cell (group) can be performed just before time point of initiating random access for early TA.</w:t>
      </w:r>
    </w:p>
    <w:p w14:paraId="2AB4F43D" w14:textId="04C5477D" w:rsidR="00E57908" w:rsidRPr="00294917" w:rsidRDefault="00A662DC" w:rsidP="00A662DC">
      <w:pPr>
        <w:rPr>
          <w:rFonts w:ascii="Garamond" w:hAnsi="Garamond"/>
          <w:b/>
          <w:bCs/>
          <w:sz w:val="18"/>
          <w:szCs w:val="18"/>
        </w:rPr>
      </w:pPr>
      <w:r w:rsidRPr="00294917">
        <w:rPr>
          <w:rFonts w:ascii="Garamond" w:hAnsi="Garamond"/>
          <w:b/>
          <w:bCs/>
          <w:sz w:val="18"/>
          <w:szCs w:val="18"/>
        </w:rPr>
        <w:t>Proposal 19</w:t>
      </w:r>
      <w:r w:rsidRPr="00294917">
        <w:rPr>
          <w:rFonts w:ascii="Garamond" w:hAnsi="Garamond"/>
          <w:b/>
          <w:bCs/>
          <w:sz w:val="18"/>
          <w:szCs w:val="18"/>
        </w:rPr>
        <w:tab/>
        <w:t>RAN2 should discuss (marginal aspects if time allows in this meeting) e.g., when Early TA procedure is ongoing, and UE receives an LTM for the same candidate cell or how to deal with acquired Early TA after successful cell switch.</w:t>
      </w:r>
    </w:p>
    <w:sectPr w:rsidR="00E57908" w:rsidRPr="002949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EA85E" w14:textId="77777777" w:rsidR="005B072C" w:rsidRDefault="005B072C" w:rsidP="00FC6453">
      <w:pPr>
        <w:spacing w:after="0" w:line="240" w:lineRule="auto"/>
      </w:pPr>
      <w:r>
        <w:separator/>
      </w:r>
    </w:p>
  </w:endnote>
  <w:endnote w:type="continuationSeparator" w:id="0">
    <w:p w14:paraId="4CBE8E61" w14:textId="77777777" w:rsidR="005B072C" w:rsidRDefault="005B072C"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AC312" w14:textId="77777777" w:rsidR="005B072C" w:rsidRDefault="005B072C" w:rsidP="00FC6453">
      <w:pPr>
        <w:spacing w:after="0" w:line="240" w:lineRule="auto"/>
      </w:pPr>
      <w:r>
        <w:separator/>
      </w:r>
    </w:p>
  </w:footnote>
  <w:footnote w:type="continuationSeparator" w:id="0">
    <w:p w14:paraId="5C5D053C" w14:textId="77777777" w:rsidR="005B072C" w:rsidRDefault="005B072C" w:rsidP="00FC6453">
      <w:pPr>
        <w:spacing w:after="0" w:line="240" w:lineRule="auto"/>
      </w:pPr>
      <w:r>
        <w:continuationSeparator/>
      </w:r>
    </w:p>
  </w:footnote>
  <w:footnote w:id="1">
    <w:p w14:paraId="24AF996A" w14:textId="59F783C9" w:rsidR="00C62731" w:rsidRPr="00C62731" w:rsidRDefault="00C62731">
      <w:pPr>
        <w:pStyle w:val="FootnoteText"/>
      </w:pPr>
      <w:r>
        <w:rPr>
          <w:rStyle w:val="FootnoteReference"/>
        </w:rPr>
        <w:footnoteRef/>
      </w:r>
      <w:r>
        <w:t xml:space="preserve"> </w:t>
      </w:r>
      <w:r w:rsidRPr="00C62731">
        <w:t>Two cases here: Early TA a</w:t>
      </w:r>
      <w:r>
        <w:t xml:space="preserve">cquisition is ongoing &amp; </w:t>
      </w:r>
      <w:r w:rsidRPr="00C62731">
        <w:t>Early TA a</w:t>
      </w:r>
      <w:r>
        <w:t>cquisition is not yet started</w:t>
      </w:r>
    </w:p>
  </w:footnote>
  <w:footnote w:id="2">
    <w:p w14:paraId="01A5197D" w14:textId="77777777" w:rsidR="0004505D" w:rsidRPr="0004505D" w:rsidRDefault="0004505D" w:rsidP="0004505D">
      <w:pPr>
        <w:pStyle w:val="FootnoteText"/>
      </w:pPr>
      <w:r>
        <w:rPr>
          <w:rStyle w:val="FootnoteReference"/>
        </w:rPr>
        <w:footnoteRef/>
      </w:r>
      <w:r>
        <w:t xml:space="preserve"> </w:t>
      </w:r>
      <w:r w:rsidRPr="0004505D">
        <w:t>From ASN.1 signalling perspective up t</w:t>
      </w:r>
      <w:r>
        <w:t xml:space="preserve">o 16000 cells under the same gNB is possible.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970E0"/>
    <w:multiLevelType w:val="hybridMultilevel"/>
    <w:tmpl w:val="69BCB61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DA309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4" w15:restartNumberingAfterBreak="0">
    <w:nsid w:val="1E280CF3"/>
    <w:multiLevelType w:val="hybridMultilevel"/>
    <w:tmpl w:val="C3EA5E86"/>
    <w:lvl w:ilvl="0" w:tplc="E724036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D3301"/>
    <w:multiLevelType w:val="hybridMultilevel"/>
    <w:tmpl w:val="795C5476"/>
    <w:lvl w:ilvl="0" w:tplc="55C61A04">
      <w:numFmt w:val="bullet"/>
      <w:lvlText w:val="-"/>
      <w:lvlJc w:val="left"/>
      <w:pPr>
        <w:ind w:left="720" w:hanging="360"/>
      </w:pPr>
      <w:rPr>
        <w:rFonts w:ascii="Garamond" w:eastAsiaTheme="minorEastAsia" w:hAnsi="Garamond"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5F40BB"/>
    <w:multiLevelType w:val="hybridMultilevel"/>
    <w:tmpl w:val="1CFEB3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707E0F"/>
    <w:multiLevelType w:val="hybridMultilevel"/>
    <w:tmpl w:val="AC7A3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0A13FE"/>
    <w:multiLevelType w:val="hybridMultilevel"/>
    <w:tmpl w:val="755248D8"/>
    <w:lvl w:ilvl="0" w:tplc="7A84A7BC">
      <w:start w:val="1"/>
      <w:numFmt w:val="decimal"/>
      <w:lvlText w:val="%1."/>
      <w:lvlJc w:val="left"/>
      <w:pPr>
        <w:ind w:left="720" w:hanging="360"/>
      </w:pPr>
    </w:lvl>
    <w:lvl w:ilvl="1" w:tplc="386CDAA4">
      <w:start w:val="1"/>
      <w:numFmt w:val="lowerLetter"/>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9" w15:restartNumberingAfterBreak="0">
    <w:nsid w:val="2EC27644"/>
    <w:multiLevelType w:val="hybridMultilevel"/>
    <w:tmpl w:val="69BCB6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D92F4B"/>
    <w:multiLevelType w:val="hybridMultilevel"/>
    <w:tmpl w:val="51E41222"/>
    <w:lvl w:ilvl="0" w:tplc="B22A6760">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B758AB"/>
    <w:multiLevelType w:val="hybridMultilevel"/>
    <w:tmpl w:val="237488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4" w15:restartNumberingAfterBreak="0">
    <w:nsid w:val="3C705A06"/>
    <w:multiLevelType w:val="hybridMultilevel"/>
    <w:tmpl w:val="CAB61BFE"/>
    <w:lvl w:ilvl="0" w:tplc="69461C08">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CD61238"/>
    <w:multiLevelType w:val="hybridMultilevel"/>
    <w:tmpl w:val="2BB876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64311B"/>
    <w:multiLevelType w:val="hybridMultilevel"/>
    <w:tmpl w:val="04C44F6C"/>
    <w:lvl w:ilvl="0" w:tplc="591CDDE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B65F31"/>
    <w:multiLevelType w:val="hybridMultilevel"/>
    <w:tmpl w:val="BDBC5F10"/>
    <w:lvl w:ilvl="0" w:tplc="CB40E772">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C403C4"/>
    <w:multiLevelType w:val="hybridMultilevel"/>
    <w:tmpl w:val="60423588"/>
    <w:lvl w:ilvl="0" w:tplc="7A84A7BC">
      <w:start w:val="1"/>
      <w:numFmt w:val="decimal"/>
      <w:lvlText w:val="%1."/>
      <w:lvlJc w:val="left"/>
      <w:pPr>
        <w:ind w:left="720" w:hanging="360"/>
      </w:pPr>
    </w:lvl>
    <w:lvl w:ilvl="1" w:tplc="7A84A7BC">
      <w:start w:val="1"/>
      <w:numFmt w:val="decimal"/>
      <w:lvlText w:val="%2."/>
      <w:lvlJc w:val="left"/>
      <w:pPr>
        <w:ind w:left="1200" w:hanging="420"/>
      </w:pPr>
      <w:rPr>
        <w:rFonts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0" w15:restartNumberingAfterBreak="0">
    <w:nsid w:val="52653546"/>
    <w:multiLevelType w:val="hybridMultilevel"/>
    <w:tmpl w:val="E78C70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A57F0F"/>
    <w:multiLevelType w:val="hybridMultilevel"/>
    <w:tmpl w:val="65C250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306DAA"/>
    <w:multiLevelType w:val="hybridMultilevel"/>
    <w:tmpl w:val="BF92E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427204"/>
    <w:multiLevelType w:val="hybridMultilevel"/>
    <w:tmpl w:val="69BCB61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3C42CB5"/>
    <w:multiLevelType w:val="hybridMultilevel"/>
    <w:tmpl w:val="60423588"/>
    <w:lvl w:ilvl="0" w:tplc="FFFFFFFF">
      <w:start w:val="1"/>
      <w:numFmt w:val="decimal"/>
      <w:lvlText w:val="%1."/>
      <w:lvlJc w:val="left"/>
      <w:pPr>
        <w:ind w:left="720" w:hanging="360"/>
      </w:pPr>
    </w:lvl>
    <w:lvl w:ilvl="1" w:tplc="FFFFFFFF">
      <w:start w:val="1"/>
      <w:numFmt w:val="decimal"/>
      <w:lvlText w:val="%2."/>
      <w:lvlJc w:val="left"/>
      <w:pPr>
        <w:ind w:left="1200" w:hanging="420"/>
      </w:pPr>
      <w:rPr>
        <w:rFonts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start w:val="1"/>
      <w:numFmt w:val="lowerLetter"/>
      <w:lvlText w:val="%5)"/>
      <w:lvlJc w:val="left"/>
      <w:pPr>
        <w:ind w:left="2460" w:hanging="420"/>
      </w:pPr>
    </w:lvl>
    <w:lvl w:ilvl="5" w:tplc="FFFFFFFF">
      <w:start w:val="1"/>
      <w:numFmt w:val="lowerRoman"/>
      <w:lvlText w:val="%6."/>
      <w:lvlJc w:val="right"/>
      <w:pPr>
        <w:ind w:left="2880" w:hanging="420"/>
      </w:pPr>
    </w:lvl>
    <w:lvl w:ilvl="6" w:tplc="FFFFFFFF">
      <w:start w:val="1"/>
      <w:numFmt w:val="decimal"/>
      <w:lvlText w:val="%7."/>
      <w:lvlJc w:val="left"/>
      <w:pPr>
        <w:ind w:left="3300" w:hanging="420"/>
      </w:pPr>
    </w:lvl>
    <w:lvl w:ilvl="7" w:tplc="FFFFFFFF">
      <w:start w:val="1"/>
      <w:numFmt w:val="lowerLetter"/>
      <w:lvlText w:val="%8)"/>
      <w:lvlJc w:val="left"/>
      <w:pPr>
        <w:ind w:left="3720" w:hanging="420"/>
      </w:pPr>
    </w:lvl>
    <w:lvl w:ilvl="8" w:tplc="FFFFFFFF">
      <w:start w:val="1"/>
      <w:numFmt w:val="lowerRoman"/>
      <w:lvlText w:val="%9."/>
      <w:lvlJc w:val="right"/>
      <w:pPr>
        <w:ind w:left="4140" w:hanging="420"/>
      </w:pPr>
    </w:lvl>
  </w:abstractNum>
  <w:abstractNum w:abstractNumId="2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C5B2A76"/>
    <w:multiLevelType w:val="hybridMultilevel"/>
    <w:tmpl w:val="35208C4A"/>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28" w15:restartNumberingAfterBreak="0">
    <w:nsid w:val="7B3C121B"/>
    <w:multiLevelType w:val="hybridMultilevel"/>
    <w:tmpl w:val="82EE4646"/>
    <w:lvl w:ilvl="0" w:tplc="10DE59F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28"/>
  </w:num>
  <w:num w:numId="3">
    <w:abstractNumId w:val="19"/>
  </w:num>
  <w:num w:numId="4">
    <w:abstractNumId w:val="3"/>
  </w:num>
  <w:num w:numId="5">
    <w:abstractNumId w:val="25"/>
  </w:num>
  <w:num w:numId="6">
    <w:abstractNumId w:val="1"/>
  </w:num>
  <w:num w:numId="7">
    <w:abstractNumId w:val="3"/>
  </w:num>
  <w:num w:numId="8">
    <w:abstractNumId w:val="19"/>
  </w:num>
  <w:num w:numId="9">
    <w:abstractNumId w:val="8"/>
  </w:num>
  <w:num w:numId="10">
    <w:abstractNumId w:val="14"/>
  </w:num>
  <w:num w:numId="11">
    <w:abstractNumId w:val="13"/>
  </w:num>
  <w:num w:numId="12">
    <w:abstractNumId w:val="4"/>
  </w:num>
  <w:num w:numId="13">
    <w:abstractNumId w:val="17"/>
  </w:num>
  <w:num w:numId="14">
    <w:abstractNumId w:val="20"/>
  </w:num>
  <w:num w:numId="15">
    <w:abstractNumId w:val="26"/>
  </w:num>
  <w:num w:numId="16">
    <w:abstractNumId w:val="24"/>
  </w:num>
  <w:num w:numId="17">
    <w:abstractNumId w:val="7"/>
  </w:num>
  <w:num w:numId="18">
    <w:abstractNumId w:val="27"/>
  </w:num>
  <w:num w:numId="19">
    <w:abstractNumId w:val="21"/>
  </w:num>
  <w:num w:numId="20">
    <w:abstractNumId w:val="15"/>
  </w:num>
  <w:num w:numId="21">
    <w:abstractNumId w:val="9"/>
  </w:num>
  <w:num w:numId="22">
    <w:abstractNumId w:val="0"/>
  </w:num>
  <w:num w:numId="23">
    <w:abstractNumId w:val="23"/>
  </w:num>
  <w:num w:numId="24">
    <w:abstractNumId w:val="12"/>
  </w:num>
  <w:num w:numId="25">
    <w:abstractNumId w:val="11"/>
  </w:num>
  <w:num w:numId="26">
    <w:abstractNumId w:val="6"/>
  </w:num>
  <w:num w:numId="27">
    <w:abstractNumId w:val="22"/>
  </w:num>
  <w:num w:numId="28">
    <w:abstractNumId w:val="13"/>
  </w:num>
  <w:num w:numId="29">
    <w:abstractNumId w:val="13"/>
  </w:num>
  <w:num w:numId="30">
    <w:abstractNumId w:val="13"/>
  </w:num>
  <w:num w:numId="31">
    <w:abstractNumId w:val="13"/>
  </w:num>
  <w:num w:numId="32">
    <w:abstractNumId w:val="13"/>
  </w:num>
  <w:num w:numId="33">
    <w:abstractNumId w:val="5"/>
  </w:num>
  <w:num w:numId="34">
    <w:abstractNumId w:val="13"/>
  </w:num>
  <w:num w:numId="35">
    <w:abstractNumId w:val="13"/>
  </w:num>
  <w:num w:numId="36">
    <w:abstractNumId w:val="13"/>
  </w:num>
  <w:num w:numId="37">
    <w:abstractNumId w:val="18"/>
  </w:num>
  <w:num w:numId="38">
    <w:abstractNumId w:val="16"/>
  </w:num>
  <w:num w:numId="39">
    <w:abstractNumId w:val="10"/>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648A"/>
    <w:rsid w:val="0001114C"/>
    <w:rsid w:val="000132AB"/>
    <w:rsid w:val="000175BB"/>
    <w:rsid w:val="00027C7A"/>
    <w:rsid w:val="000316E0"/>
    <w:rsid w:val="00031999"/>
    <w:rsid w:val="000338BB"/>
    <w:rsid w:val="00035774"/>
    <w:rsid w:val="00037EC7"/>
    <w:rsid w:val="0004505D"/>
    <w:rsid w:val="00052297"/>
    <w:rsid w:val="000601F6"/>
    <w:rsid w:val="0006170C"/>
    <w:rsid w:val="00072F36"/>
    <w:rsid w:val="00075383"/>
    <w:rsid w:val="00080F2A"/>
    <w:rsid w:val="00081570"/>
    <w:rsid w:val="00082C7A"/>
    <w:rsid w:val="00084A01"/>
    <w:rsid w:val="00094C5A"/>
    <w:rsid w:val="000A165E"/>
    <w:rsid w:val="000A4C8B"/>
    <w:rsid w:val="000A6F76"/>
    <w:rsid w:val="000B3AE7"/>
    <w:rsid w:val="000B5090"/>
    <w:rsid w:val="000C124B"/>
    <w:rsid w:val="000C20BA"/>
    <w:rsid w:val="000D6918"/>
    <w:rsid w:val="000E38D0"/>
    <w:rsid w:val="000E6A78"/>
    <w:rsid w:val="00104D48"/>
    <w:rsid w:val="0011313A"/>
    <w:rsid w:val="00113BC6"/>
    <w:rsid w:val="00114197"/>
    <w:rsid w:val="00122909"/>
    <w:rsid w:val="001243B1"/>
    <w:rsid w:val="00124CEF"/>
    <w:rsid w:val="00125688"/>
    <w:rsid w:val="00133BAB"/>
    <w:rsid w:val="001349C1"/>
    <w:rsid w:val="00135446"/>
    <w:rsid w:val="0013580E"/>
    <w:rsid w:val="00135D25"/>
    <w:rsid w:val="0014176E"/>
    <w:rsid w:val="0014437B"/>
    <w:rsid w:val="00155AAA"/>
    <w:rsid w:val="00160140"/>
    <w:rsid w:val="001611F1"/>
    <w:rsid w:val="00165DC3"/>
    <w:rsid w:val="001676A5"/>
    <w:rsid w:val="001716EA"/>
    <w:rsid w:val="0017228D"/>
    <w:rsid w:val="00172899"/>
    <w:rsid w:val="0017502D"/>
    <w:rsid w:val="00180B0E"/>
    <w:rsid w:val="00182CD2"/>
    <w:rsid w:val="00186728"/>
    <w:rsid w:val="001878EC"/>
    <w:rsid w:val="001A065E"/>
    <w:rsid w:val="001A3916"/>
    <w:rsid w:val="001A547E"/>
    <w:rsid w:val="001A6BB3"/>
    <w:rsid w:val="001B3499"/>
    <w:rsid w:val="001C2F13"/>
    <w:rsid w:val="001C317D"/>
    <w:rsid w:val="001C791C"/>
    <w:rsid w:val="001C7BF0"/>
    <w:rsid w:val="001C7CC0"/>
    <w:rsid w:val="001D584A"/>
    <w:rsid w:val="001E7CD5"/>
    <w:rsid w:val="001F1A9F"/>
    <w:rsid w:val="001F29F3"/>
    <w:rsid w:val="001F657F"/>
    <w:rsid w:val="002014B3"/>
    <w:rsid w:val="00206630"/>
    <w:rsid w:val="00207C74"/>
    <w:rsid w:val="0021733E"/>
    <w:rsid w:val="00221509"/>
    <w:rsid w:val="00224828"/>
    <w:rsid w:val="002268C7"/>
    <w:rsid w:val="002325AD"/>
    <w:rsid w:val="00233B00"/>
    <w:rsid w:val="0023735A"/>
    <w:rsid w:val="00241C77"/>
    <w:rsid w:val="00241D01"/>
    <w:rsid w:val="00245C60"/>
    <w:rsid w:val="0024657D"/>
    <w:rsid w:val="00247E40"/>
    <w:rsid w:val="00251244"/>
    <w:rsid w:val="00255647"/>
    <w:rsid w:val="00255DD3"/>
    <w:rsid w:val="0026239B"/>
    <w:rsid w:val="0027067B"/>
    <w:rsid w:val="00276A24"/>
    <w:rsid w:val="00280E9E"/>
    <w:rsid w:val="002872A8"/>
    <w:rsid w:val="00293DAC"/>
    <w:rsid w:val="00294917"/>
    <w:rsid w:val="00296A92"/>
    <w:rsid w:val="002A2ECD"/>
    <w:rsid w:val="002A55D9"/>
    <w:rsid w:val="002A6976"/>
    <w:rsid w:val="002B003A"/>
    <w:rsid w:val="002B4D71"/>
    <w:rsid w:val="002B5A3D"/>
    <w:rsid w:val="002C1DFE"/>
    <w:rsid w:val="002C3D2D"/>
    <w:rsid w:val="002C7BE8"/>
    <w:rsid w:val="002D1DF2"/>
    <w:rsid w:val="002E3235"/>
    <w:rsid w:val="002E5577"/>
    <w:rsid w:val="002E5873"/>
    <w:rsid w:val="002F5A69"/>
    <w:rsid w:val="00305D41"/>
    <w:rsid w:val="003145C8"/>
    <w:rsid w:val="00321BD6"/>
    <w:rsid w:val="00324F3B"/>
    <w:rsid w:val="00332AD8"/>
    <w:rsid w:val="00346AB2"/>
    <w:rsid w:val="00353336"/>
    <w:rsid w:val="00361B8B"/>
    <w:rsid w:val="003644B0"/>
    <w:rsid w:val="00376958"/>
    <w:rsid w:val="00377B24"/>
    <w:rsid w:val="00385134"/>
    <w:rsid w:val="00392CE3"/>
    <w:rsid w:val="00393691"/>
    <w:rsid w:val="0039704D"/>
    <w:rsid w:val="003A32C1"/>
    <w:rsid w:val="003A422B"/>
    <w:rsid w:val="003A6C51"/>
    <w:rsid w:val="003C3D22"/>
    <w:rsid w:val="003C6344"/>
    <w:rsid w:val="003D09B9"/>
    <w:rsid w:val="003D2B38"/>
    <w:rsid w:val="003E0030"/>
    <w:rsid w:val="003E06D5"/>
    <w:rsid w:val="003E1925"/>
    <w:rsid w:val="003E2B71"/>
    <w:rsid w:val="003E3C25"/>
    <w:rsid w:val="003E6223"/>
    <w:rsid w:val="003F1678"/>
    <w:rsid w:val="003F1FB2"/>
    <w:rsid w:val="00402305"/>
    <w:rsid w:val="00410779"/>
    <w:rsid w:val="004129FB"/>
    <w:rsid w:val="00412CD0"/>
    <w:rsid w:val="004267E0"/>
    <w:rsid w:val="00430987"/>
    <w:rsid w:val="00436ECE"/>
    <w:rsid w:val="004412D3"/>
    <w:rsid w:val="00443173"/>
    <w:rsid w:val="00452B28"/>
    <w:rsid w:val="00452D98"/>
    <w:rsid w:val="004537EC"/>
    <w:rsid w:val="00454CD4"/>
    <w:rsid w:val="00455538"/>
    <w:rsid w:val="00455F13"/>
    <w:rsid w:val="00466103"/>
    <w:rsid w:val="0047154B"/>
    <w:rsid w:val="00473823"/>
    <w:rsid w:val="00475DF5"/>
    <w:rsid w:val="00481055"/>
    <w:rsid w:val="00484DDA"/>
    <w:rsid w:val="00486034"/>
    <w:rsid w:val="004877DB"/>
    <w:rsid w:val="0049358A"/>
    <w:rsid w:val="00497DF4"/>
    <w:rsid w:val="00497F46"/>
    <w:rsid w:val="004A72C1"/>
    <w:rsid w:val="004B174C"/>
    <w:rsid w:val="004B4468"/>
    <w:rsid w:val="004B458E"/>
    <w:rsid w:val="004B7C91"/>
    <w:rsid w:val="004C2669"/>
    <w:rsid w:val="004C532C"/>
    <w:rsid w:val="004D1BB9"/>
    <w:rsid w:val="004D21B9"/>
    <w:rsid w:val="004D346B"/>
    <w:rsid w:val="004D45C8"/>
    <w:rsid w:val="004E2DF0"/>
    <w:rsid w:val="004E41EE"/>
    <w:rsid w:val="004E48F7"/>
    <w:rsid w:val="004E6C3E"/>
    <w:rsid w:val="00506CEF"/>
    <w:rsid w:val="00507030"/>
    <w:rsid w:val="0051361E"/>
    <w:rsid w:val="0051762B"/>
    <w:rsid w:val="00521BD3"/>
    <w:rsid w:val="005357E6"/>
    <w:rsid w:val="00540952"/>
    <w:rsid w:val="005409CE"/>
    <w:rsid w:val="00540E31"/>
    <w:rsid w:val="005417A6"/>
    <w:rsid w:val="005417D3"/>
    <w:rsid w:val="0054427E"/>
    <w:rsid w:val="005463EB"/>
    <w:rsid w:val="005464B8"/>
    <w:rsid w:val="00546610"/>
    <w:rsid w:val="0055215E"/>
    <w:rsid w:val="00555CFF"/>
    <w:rsid w:val="00564FF2"/>
    <w:rsid w:val="0057200D"/>
    <w:rsid w:val="005800D1"/>
    <w:rsid w:val="005861DF"/>
    <w:rsid w:val="0059723F"/>
    <w:rsid w:val="005B072C"/>
    <w:rsid w:val="005B22B1"/>
    <w:rsid w:val="005B2F31"/>
    <w:rsid w:val="005B7405"/>
    <w:rsid w:val="005B7C0E"/>
    <w:rsid w:val="005C21DB"/>
    <w:rsid w:val="005C311D"/>
    <w:rsid w:val="005E003D"/>
    <w:rsid w:val="005E09BE"/>
    <w:rsid w:val="005F51BD"/>
    <w:rsid w:val="00605594"/>
    <w:rsid w:val="0060657D"/>
    <w:rsid w:val="00607A1C"/>
    <w:rsid w:val="00607DE8"/>
    <w:rsid w:val="006101BA"/>
    <w:rsid w:val="0061405D"/>
    <w:rsid w:val="0061679A"/>
    <w:rsid w:val="00622BDB"/>
    <w:rsid w:val="00630420"/>
    <w:rsid w:val="00630DF5"/>
    <w:rsid w:val="00647426"/>
    <w:rsid w:val="00654BEE"/>
    <w:rsid w:val="0065544D"/>
    <w:rsid w:val="00657CA7"/>
    <w:rsid w:val="00665C1E"/>
    <w:rsid w:val="00666848"/>
    <w:rsid w:val="00666D5E"/>
    <w:rsid w:val="00671B79"/>
    <w:rsid w:val="006741BA"/>
    <w:rsid w:val="00687224"/>
    <w:rsid w:val="0069176D"/>
    <w:rsid w:val="0069202C"/>
    <w:rsid w:val="00695FC8"/>
    <w:rsid w:val="0069755E"/>
    <w:rsid w:val="006A448B"/>
    <w:rsid w:val="006B1AD8"/>
    <w:rsid w:val="006D0714"/>
    <w:rsid w:val="006D1347"/>
    <w:rsid w:val="006D379B"/>
    <w:rsid w:val="006D3E93"/>
    <w:rsid w:val="006F57F6"/>
    <w:rsid w:val="006F5EEC"/>
    <w:rsid w:val="007009DC"/>
    <w:rsid w:val="00700BC8"/>
    <w:rsid w:val="00700C64"/>
    <w:rsid w:val="007022BC"/>
    <w:rsid w:val="00710217"/>
    <w:rsid w:val="007123BA"/>
    <w:rsid w:val="007126C5"/>
    <w:rsid w:val="007141D3"/>
    <w:rsid w:val="00730096"/>
    <w:rsid w:val="00731253"/>
    <w:rsid w:val="00731463"/>
    <w:rsid w:val="00733518"/>
    <w:rsid w:val="007402ED"/>
    <w:rsid w:val="00742E3F"/>
    <w:rsid w:val="0074618D"/>
    <w:rsid w:val="00746759"/>
    <w:rsid w:val="00746B52"/>
    <w:rsid w:val="00750FCF"/>
    <w:rsid w:val="007549E8"/>
    <w:rsid w:val="00761D1B"/>
    <w:rsid w:val="0076641C"/>
    <w:rsid w:val="00770BE4"/>
    <w:rsid w:val="00771B6C"/>
    <w:rsid w:val="00776A56"/>
    <w:rsid w:val="00783889"/>
    <w:rsid w:val="00784908"/>
    <w:rsid w:val="007873E2"/>
    <w:rsid w:val="00787D39"/>
    <w:rsid w:val="007903AE"/>
    <w:rsid w:val="00794482"/>
    <w:rsid w:val="007A4503"/>
    <w:rsid w:val="007A45FC"/>
    <w:rsid w:val="007B326C"/>
    <w:rsid w:val="007B3F8E"/>
    <w:rsid w:val="007B6B92"/>
    <w:rsid w:val="007C6053"/>
    <w:rsid w:val="007C7541"/>
    <w:rsid w:val="007D184E"/>
    <w:rsid w:val="007D3A15"/>
    <w:rsid w:val="007E384C"/>
    <w:rsid w:val="007F0388"/>
    <w:rsid w:val="007F6CA4"/>
    <w:rsid w:val="00806C58"/>
    <w:rsid w:val="00812A02"/>
    <w:rsid w:val="0082133D"/>
    <w:rsid w:val="00821D26"/>
    <w:rsid w:val="00834F0F"/>
    <w:rsid w:val="00841BFB"/>
    <w:rsid w:val="0084583A"/>
    <w:rsid w:val="00850A43"/>
    <w:rsid w:val="008522EB"/>
    <w:rsid w:val="00854030"/>
    <w:rsid w:val="0086405A"/>
    <w:rsid w:val="00864147"/>
    <w:rsid w:val="008666B6"/>
    <w:rsid w:val="00875528"/>
    <w:rsid w:val="00875705"/>
    <w:rsid w:val="00884829"/>
    <w:rsid w:val="008904AD"/>
    <w:rsid w:val="008A1EEB"/>
    <w:rsid w:val="008A35EA"/>
    <w:rsid w:val="008B5836"/>
    <w:rsid w:val="008B665C"/>
    <w:rsid w:val="008C188E"/>
    <w:rsid w:val="008C7136"/>
    <w:rsid w:val="008D068F"/>
    <w:rsid w:val="008D7872"/>
    <w:rsid w:val="008E14F7"/>
    <w:rsid w:val="008E1895"/>
    <w:rsid w:val="008F1DD5"/>
    <w:rsid w:val="008F2E6D"/>
    <w:rsid w:val="008F3702"/>
    <w:rsid w:val="008F45D3"/>
    <w:rsid w:val="008F7226"/>
    <w:rsid w:val="008F7661"/>
    <w:rsid w:val="008F799D"/>
    <w:rsid w:val="00904DF0"/>
    <w:rsid w:val="00911F6C"/>
    <w:rsid w:val="00924CE4"/>
    <w:rsid w:val="00934F0E"/>
    <w:rsid w:val="00941707"/>
    <w:rsid w:val="00942490"/>
    <w:rsid w:val="009458EE"/>
    <w:rsid w:val="00945E90"/>
    <w:rsid w:val="00946559"/>
    <w:rsid w:val="0095696E"/>
    <w:rsid w:val="00960A79"/>
    <w:rsid w:val="00960B44"/>
    <w:rsid w:val="0096378B"/>
    <w:rsid w:val="009653CF"/>
    <w:rsid w:val="00973E92"/>
    <w:rsid w:val="009773A5"/>
    <w:rsid w:val="00980F19"/>
    <w:rsid w:val="009829CD"/>
    <w:rsid w:val="009856B8"/>
    <w:rsid w:val="009A20CB"/>
    <w:rsid w:val="009A267E"/>
    <w:rsid w:val="009B0E1E"/>
    <w:rsid w:val="009B6915"/>
    <w:rsid w:val="009B7DC6"/>
    <w:rsid w:val="009D37B4"/>
    <w:rsid w:val="009E1EF8"/>
    <w:rsid w:val="009E3887"/>
    <w:rsid w:val="009F1905"/>
    <w:rsid w:val="009F554A"/>
    <w:rsid w:val="009F692C"/>
    <w:rsid w:val="009F6F3F"/>
    <w:rsid w:val="00A002DF"/>
    <w:rsid w:val="00A022CC"/>
    <w:rsid w:val="00A031AF"/>
    <w:rsid w:val="00A03D7D"/>
    <w:rsid w:val="00A04BF8"/>
    <w:rsid w:val="00A06ABA"/>
    <w:rsid w:val="00A07924"/>
    <w:rsid w:val="00A13980"/>
    <w:rsid w:val="00A25C10"/>
    <w:rsid w:val="00A310E1"/>
    <w:rsid w:val="00A31EC7"/>
    <w:rsid w:val="00A33918"/>
    <w:rsid w:val="00A359FD"/>
    <w:rsid w:val="00A36201"/>
    <w:rsid w:val="00A5012C"/>
    <w:rsid w:val="00A62E72"/>
    <w:rsid w:val="00A62F0D"/>
    <w:rsid w:val="00A662DC"/>
    <w:rsid w:val="00A71ABE"/>
    <w:rsid w:val="00A760D0"/>
    <w:rsid w:val="00A90ACD"/>
    <w:rsid w:val="00A92D82"/>
    <w:rsid w:val="00A948BC"/>
    <w:rsid w:val="00A972B3"/>
    <w:rsid w:val="00AA72BF"/>
    <w:rsid w:val="00AC07F2"/>
    <w:rsid w:val="00AC4BE0"/>
    <w:rsid w:val="00AC4D21"/>
    <w:rsid w:val="00AD04BB"/>
    <w:rsid w:val="00AD5884"/>
    <w:rsid w:val="00AD7C63"/>
    <w:rsid w:val="00AE0787"/>
    <w:rsid w:val="00AE1FF9"/>
    <w:rsid w:val="00AE6FD9"/>
    <w:rsid w:val="00AE74BE"/>
    <w:rsid w:val="00AE79A9"/>
    <w:rsid w:val="00AF2733"/>
    <w:rsid w:val="00AF6119"/>
    <w:rsid w:val="00B0207E"/>
    <w:rsid w:val="00B0359E"/>
    <w:rsid w:val="00B12BF3"/>
    <w:rsid w:val="00B13AA5"/>
    <w:rsid w:val="00B2191F"/>
    <w:rsid w:val="00B22907"/>
    <w:rsid w:val="00B22EA4"/>
    <w:rsid w:val="00B236FD"/>
    <w:rsid w:val="00B2747B"/>
    <w:rsid w:val="00B32353"/>
    <w:rsid w:val="00B3555C"/>
    <w:rsid w:val="00B35AF2"/>
    <w:rsid w:val="00B40D6D"/>
    <w:rsid w:val="00B464C2"/>
    <w:rsid w:val="00B47449"/>
    <w:rsid w:val="00B563DA"/>
    <w:rsid w:val="00B65898"/>
    <w:rsid w:val="00B861D8"/>
    <w:rsid w:val="00BA2636"/>
    <w:rsid w:val="00BA2F77"/>
    <w:rsid w:val="00BA3BF7"/>
    <w:rsid w:val="00BA3E4B"/>
    <w:rsid w:val="00BB186F"/>
    <w:rsid w:val="00BB1B16"/>
    <w:rsid w:val="00BC52AC"/>
    <w:rsid w:val="00BD0078"/>
    <w:rsid w:val="00BD0119"/>
    <w:rsid w:val="00BD1BA2"/>
    <w:rsid w:val="00BD622F"/>
    <w:rsid w:val="00BE1C4F"/>
    <w:rsid w:val="00BE23F6"/>
    <w:rsid w:val="00BE3D82"/>
    <w:rsid w:val="00BE4038"/>
    <w:rsid w:val="00BF0EF3"/>
    <w:rsid w:val="00BF19A8"/>
    <w:rsid w:val="00C03969"/>
    <w:rsid w:val="00C1449E"/>
    <w:rsid w:val="00C15DAD"/>
    <w:rsid w:val="00C22B77"/>
    <w:rsid w:val="00C250FF"/>
    <w:rsid w:val="00C25320"/>
    <w:rsid w:val="00C313E4"/>
    <w:rsid w:val="00C321C3"/>
    <w:rsid w:val="00C44E79"/>
    <w:rsid w:val="00C53394"/>
    <w:rsid w:val="00C56A2A"/>
    <w:rsid w:val="00C60EB3"/>
    <w:rsid w:val="00C61948"/>
    <w:rsid w:val="00C62093"/>
    <w:rsid w:val="00C62731"/>
    <w:rsid w:val="00C6410A"/>
    <w:rsid w:val="00C72854"/>
    <w:rsid w:val="00C77872"/>
    <w:rsid w:val="00C81562"/>
    <w:rsid w:val="00C82476"/>
    <w:rsid w:val="00C92DB8"/>
    <w:rsid w:val="00C935B6"/>
    <w:rsid w:val="00C94A04"/>
    <w:rsid w:val="00C9779C"/>
    <w:rsid w:val="00CA7032"/>
    <w:rsid w:val="00CA70AC"/>
    <w:rsid w:val="00CA7161"/>
    <w:rsid w:val="00CC6485"/>
    <w:rsid w:val="00CD5974"/>
    <w:rsid w:val="00CE28BC"/>
    <w:rsid w:val="00CE5392"/>
    <w:rsid w:val="00CE5633"/>
    <w:rsid w:val="00CE7E47"/>
    <w:rsid w:val="00D013E2"/>
    <w:rsid w:val="00D01524"/>
    <w:rsid w:val="00D03D47"/>
    <w:rsid w:val="00D0583E"/>
    <w:rsid w:val="00D1274C"/>
    <w:rsid w:val="00D1282E"/>
    <w:rsid w:val="00D130AD"/>
    <w:rsid w:val="00D14770"/>
    <w:rsid w:val="00D220A4"/>
    <w:rsid w:val="00D26149"/>
    <w:rsid w:val="00D27132"/>
    <w:rsid w:val="00D32AEE"/>
    <w:rsid w:val="00D419F9"/>
    <w:rsid w:val="00D41CA6"/>
    <w:rsid w:val="00D46415"/>
    <w:rsid w:val="00D4685B"/>
    <w:rsid w:val="00D46CB0"/>
    <w:rsid w:val="00D47BDD"/>
    <w:rsid w:val="00D51412"/>
    <w:rsid w:val="00D57A71"/>
    <w:rsid w:val="00D61B3E"/>
    <w:rsid w:val="00D700F9"/>
    <w:rsid w:val="00D76BD9"/>
    <w:rsid w:val="00D86440"/>
    <w:rsid w:val="00DA3B4B"/>
    <w:rsid w:val="00DA6BD7"/>
    <w:rsid w:val="00DB4348"/>
    <w:rsid w:val="00DB5A04"/>
    <w:rsid w:val="00DB7631"/>
    <w:rsid w:val="00DB7AB5"/>
    <w:rsid w:val="00DC3921"/>
    <w:rsid w:val="00DC4C4A"/>
    <w:rsid w:val="00DC5C96"/>
    <w:rsid w:val="00DD2F3B"/>
    <w:rsid w:val="00DD3B00"/>
    <w:rsid w:val="00DE0B2B"/>
    <w:rsid w:val="00DE2F9C"/>
    <w:rsid w:val="00DE7223"/>
    <w:rsid w:val="00DF20A8"/>
    <w:rsid w:val="00DF248A"/>
    <w:rsid w:val="00DF2F12"/>
    <w:rsid w:val="00DF69EB"/>
    <w:rsid w:val="00DF7AB6"/>
    <w:rsid w:val="00E107F8"/>
    <w:rsid w:val="00E14101"/>
    <w:rsid w:val="00E16972"/>
    <w:rsid w:val="00E2544D"/>
    <w:rsid w:val="00E30F4C"/>
    <w:rsid w:val="00E310FB"/>
    <w:rsid w:val="00E403C3"/>
    <w:rsid w:val="00E40D97"/>
    <w:rsid w:val="00E414DA"/>
    <w:rsid w:val="00E4263F"/>
    <w:rsid w:val="00E51219"/>
    <w:rsid w:val="00E54F3D"/>
    <w:rsid w:val="00E56A83"/>
    <w:rsid w:val="00E57908"/>
    <w:rsid w:val="00E60E26"/>
    <w:rsid w:val="00E62A98"/>
    <w:rsid w:val="00E63EFE"/>
    <w:rsid w:val="00E654C7"/>
    <w:rsid w:val="00E738E1"/>
    <w:rsid w:val="00E73984"/>
    <w:rsid w:val="00E7442C"/>
    <w:rsid w:val="00E74D1F"/>
    <w:rsid w:val="00E75AC8"/>
    <w:rsid w:val="00E77E4A"/>
    <w:rsid w:val="00E85334"/>
    <w:rsid w:val="00E87350"/>
    <w:rsid w:val="00E926EA"/>
    <w:rsid w:val="00E938E5"/>
    <w:rsid w:val="00E94E0D"/>
    <w:rsid w:val="00E96247"/>
    <w:rsid w:val="00E96543"/>
    <w:rsid w:val="00EA7A3A"/>
    <w:rsid w:val="00EB0B5D"/>
    <w:rsid w:val="00EB2BDC"/>
    <w:rsid w:val="00EB3F2C"/>
    <w:rsid w:val="00EC2656"/>
    <w:rsid w:val="00EC6245"/>
    <w:rsid w:val="00EC7912"/>
    <w:rsid w:val="00EC7CC3"/>
    <w:rsid w:val="00ED13B1"/>
    <w:rsid w:val="00ED25DC"/>
    <w:rsid w:val="00ED3A29"/>
    <w:rsid w:val="00ED783C"/>
    <w:rsid w:val="00EE0164"/>
    <w:rsid w:val="00EE3388"/>
    <w:rsid w:val="00EF274B"/>
    <w:rsid w:val="00F04EC8"/>
    <w:rsid w:val="00F06C38"/>
    <w:rsid w:val="00F1744C"/>
    <w:rsid w:val="00F2255F"/>
    <w:rsid w:val="00F30D57"/>
    <w:rsid w:val="00F32AF9"/>
    <w:rsid w:val="00F33174"/>
    <w:rsid w:val="00F34D17"/>
    <w:rsid w:val="00F35A09"/>
    <w:rsid w:val="00F3640C"/>
    <w:rsid w:val="00F3695A"/>
    <w:rsid w:val="00F3795C"/>
    <w:rsid w:val="00F4462A"/>
    <w:rsid w:val="00F5420F"/>
    <w:rsid w:val="00F60A3F"/>
    <w:rsid w:val="00F6771A"/>
    <w:rsid w:val="00F85304"/>
    <w:rsid w:val="00F9300A"/>
    <w:rsid w:val="00F966AE"/>
    <w:rsid w:val="00FA1243"/>
    <w:rsid w:val="00FA3732"/>
    <w:rsid w:val="00FA511B"/>
    <w:rsid w:val="00FB2AD6"/>
    <w:rsid w:val="00FB4709"/>
    <w:rsid w:val="00FB6005"/>
    <w:rsid w:val="00FC4CD4"/>
    <w:rsid w:val="00FC6453"/>
    <w:rsid w:val="00FD523E"/>
    <w:rsid w:val="00FE1329"/>
    <w:rsid w:val="00FE1DCE"/>
    <w:rsid w:val="00FE4E65"/>
    <w:rsid w:val="00FF00BB"/>
    <w:rsid w:val="00FF261A"/>
    <w:rsid w:val="00FF5AFB"/>
    <w:rsid w:val="00FF7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39"/>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11"/>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1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qFormat/>
    <w:rsid w:val="00E4263F"/>
    <w:pPr>
      <w:numPr>
        <w:numId w:val="18"/>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2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7</Pages>
  <Words>2851</Words>
  <Characters>16257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Lenovo Prateek</cp:lastModifiedBy>
  <cp:revision>21</cp:revision>
  <dcterms:created xsi:type="dcterms:W3CDTF">2022-11-02T12:38:00Z</dcterms:created>
  <dcterms:modified xsi:type="dcterms:W3CDTF">2022-11-03T12:15:00Z</dcterms:modified>
</cp:coreProperties>
</file>